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770E" w14:textId="65B0B633" w:rsidR="008D34FD" w:rsidRDefault="00163A46" w:rsidP="0067247E">
      <w:pPr>
        <w:pStyle w:val="Title"/>
        <w:ind w:left="-720" w:right="-810" w:firstLine="720"/>
      </w:pPr>
      <w:r w:rsidRPr="00163A46">
        <w:t>ICS4ICS</w:t>
      </w:r>
      <w:r>
        <w:t xml:space="preserve"> </w:t>
      </w:r>
      <w:r w:rsidR="004F5192">
        <w:t xml:space="preserve">Safety Officer </w:t>
      </w:r>
      <w:r w:rsidR="00BD69C2">
        <w:t>Type 4 Application</w:t>
      </w:r>
    </w:p>
    <w:p w14:paraId="286555A0" w14:textId="29C86A15" w:rsidR="00163A46" w:rsidRDefault="00163A46" w:rsidP="00163A46">
      <w:pPr>
        <w:ind w:left="-810"/>
      </w:pPr>
    </w:p>
    <w:p w14:paraId="5C94FA2F" w14:textId="14BF4F6D" w:rsidR="00163A46" w:rsidRDefault="00163A46" w:rsidP="00CA0795">
      <w:pPr>
        <w:ind w:left="-810"/>
      </w:pPr>
      <w:r>
        <w:t xml:space="preserve">Please </w:t>
      </w:r>
      <w:r w:rsidR="00137C48">
        <w:t xml:space="preserve">use the right column “Describe Your Qualifications” to </w:t>
      </w:r>
      <w:r w:rsidR="00025E07">
        <w:t xml:space="preserve">describe how you meet each of the requirements to obtain your </w:t>
      </w:r>
      <w:r w:rsidR="004F5192">
        <w:t xml:space="preserve">Safety Officer </w:t>
      </w:r>
      <w:r w:rsidR="00CA0795">
        <w:t>Type 4 Credentials.</w:t>
      </w:r>
    </w:p>
    <w:p w14:paraId="6ED5D0DD" w14:textId="1BBA9F35" w:rsidR="00832910" w:rsidRDefault="00832910"/>
    <w:tbl>
      <w:tblPr>
        <w:tblStyle w:val="PlainTable11"/>
        <w:tblW w:w="5775" w:type="pct"/>
        <w:tblInd w:w="-725" w:type="dxa"/>
        <w:tblLayout w:type="fixed"/>
        <w:tblCellMar>
          <w:left w:w="115" w:type="dxa"/>
          <w:bottom w:w="29" w:type="dxa"/>
          <w:right w:w="115" w:type="dxa"/>
        </w:tblCellMar>
        <w:tblLook w:val="04A0" w:firstRow="1" w:lastRow="0" w:firstColumn="1" w:lastColumn="0" w:noHBand="0" w:noVBand="1"/>
      </w:tblPr>
      <w:tblGrid>
        <w:gridCol w:w="1573"/>
        <w:gridCol w:w="2477"/>
        <w:gridCol w:w="2064"/>
        <w:gridCol w:w="4685"/>
      </w:tblGrid>
      <w:tr w:rsidR="00832910" w:rsidRPr="0059016B" w14:paraId="47E639AC" w14:textId="47355AA4" w:rsidTr="00664DBC">
        <w:trPr>
          <w:cnfStyle w:val="100000000000" w:firstRow="1" w:lastRow="0" w:firstColumn="0" w:lastColumn="0" w:oddVBand="0" w:evenVBand="0" w:oddHBand="0" w:evenHBand="0" w:firstRowFirstColumn="0" w:firstRowLastColumn="0" w:lastRowFirstColumn="0" w:lastRowLastColumn="0"/>
          <w:cantSplit/>
          <w:trHeight w:val="534"/>
          <w:tblHeader/>
        </w:trPr>
        <w:tc>
          <w:tcPr>
            <w:cnfStyle w:val="001000000000" w:firstRow="0" w:lastRow="0" w:firstColumn="1" w:lastColumn="0" w:oddVBand="0" w:evenVBand="0" w:oddHBand="0" w:evenHBand="0" w:firstRowFirstColumn="0" w:firstRowLastColumn="0" w:lastRowFirstColumn="0" w:lastRowLastColumn="0"/>
            <w:tcW w:w="1573" w:type="dxa"/>
            <w:shd w:val="clear" w:color="auto" w:fill="44546A" w:themeFill="text2"/>
            <w:vAlign w:val="center"/>
          </w:tcPr>
          <w:p w14:paraId="31D2EC9F" w14:textId="15F60CBD" w:rsidR="00832910" w:rsidRPr="0059016B" w:rsidRDefault="00832910" w:rsidP="00E20FD1">
            <w:pPr>
              <w:pStyle w:val="TableColumnHeader"/>
            </w:pPr>
            <w:r>
              <w:t>Component</w:t>
            </w:r>
          </w:p>
        </w:tc>
        <w:tc>
          <w:tcPr>
            <w:tcW w:w="2477" w:type="dxa"/>
            <w:shd w:val="clear" w:color="auto" w:fill="44546A" w:themeFill="text2"/>
            <w:vAlign w:val="center"/>
          </w:tcPr>
          <w:p w14:paraId="0FDDBF39" w14:textId="77777777" w:rsidR="00832910" w:rsidRPr="0059016B" w:rsidRDefault="00832910" w:rsidP="00E20FD1">
            <w:pPr>
              <w:pStyle w:val="TableColumnHeader"/>
              <w:cnfStyle w:val="100000000000" w:firstRow="1" w:lastRow="0" w:firstColumn="0" w:lastColumn="0" w:oddVBand="0" w:evenVBand="0" w:oddHBand="0" w:evenHBand="0" w:firstRowFirstColumn="0" w:firstRowLastColumn="0" w:lastRowFirstColumn="0" w:lastRowLastColumn="0"/>
            </w:pPr>
            <w:r w:rsidRPr="0059016B">
              <w:t xml:space="preserve">Type </w:t>
            </w:r>
            <w:r>
              <w:t>4</w:t>
            </w:r>
          </w:p>
        </w:tc>
        <w:tc>
          <w:tcPr>
            <w:tcW w:w="2064" w:type="dxa"/>
            <w:shd w:val="clear" w:color="auto" w:fill="44546A" w:themeFill="text2"/>
            <w:vAlign w:val="center"/>
          </w:tcPr>
          <w:p w14:paraId="48FDB3C4" w14:textId="3CA7D76F" w:rsidR="00832910" w:rsidRPr="0059016B" w:rsidRDefault="00832910" w:rsidP="00E20FD1">
            <w:pPr>
              <w:pStyle w:val="TableColumnHeader"/>
              <w:cnfStyle w:val="100000000000" w:firstRow="1" w:lastRow="0" w:firstColumn="0" w:lastColumn="0" w:oddVBand="0" w:evenVBand="0" w:oddHBand="0" w:evenHBand="0" w:firstRowFirstColumn="0" w:firstRowLastColumn="0" w:lastRowFirstColumn="0" w:lastRowLastColumn="0"/>
            </w:pPr>
            <w:r w:rsidRPr="0059016B">
              <w:t>Notes</w:t>
            </w:r>
          </w:p>
        </w:tc>
        <w:tc>
          <w:tcPr>
            <w:tcW w:w="4685" w:type="dxa"/>
            <w:shd w:val="clear" w:color="auto" w:fill="44546A" w:themeFill="text2"/>
          </w:tcPr>
          <w:p w14:paraId="64E3130D" w14:textId="3F62CF51" w:rsidR="00832910" w:rsidRPr="0059016B" w:rsidRDefault="00832910" w:rsidP="00E20FD1">
            <w:pPr>
              <w:pStyle w:val="TableColumnHeader"/>
              <w:cnfStyle w:val="100000000000" w:firstRow="1" w:lastRow="0" w:firstColumn="0" w:lastColumn="0" w:oddVBand="0" w:evenVBand="0" w:oddHBand="0" w:evenHBand="0" w:firstRowFirstColumn="0" w:firstRowLastColumn="0" w:lastRowFirstColumn="0" w:lastRowLastColumn="0"/>
            </w:pPr>
            <w:r>
              <w:t>Describe Your Qualifications</w:t>
            </w:r>
          </w:p>
        </w:tc>
      </w:tr>
      <w:tr w:rsidR="006C20B7" w:rsidRPr="00B97F0D" w14:paraId="6813294A" w14:textId="77777777" w:rsidTr="00AC403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E2EFD9" w:themeFill="accent6" w:themeFillTint="33"/>
            <w:vAlign w:val="center"/>
          </w:tcPr>
          <w:p w14:paraId="3B435F96" w14:textId="19942183" w:rsidR="006C20B7" w:rsidRPr="00A30481" w:rsidRDefault="006C20B7" w:rsidP="00FC62A8">
            <w:pPr>
              <w:pStyle w:val="Table2RowHeader"/>
              <w:rPr>
                <w:b w:val="0"/>
              </w:rPr>
            </w:pPr>
            <w:r>
              <w:t>Name</w:t>
            </w:r>
          </w:p>
        </w:tc>
        <w:tc>
          <w:tcPr>
            <w:tcW w:w="2477" w:type="dxa"/>
          </w:tcPr>
          <w:p w14:paraId="22B6DDA1" w14:textId="241C3EBF" w:rsidR="006C20B7" w:rsidRPr="00832910" w:rsidRDefault="00AC4034" w:rsidP="00FC62A8">
            <w:pPr>
              <w:pStyle w:val="TableText"/>
              <w:cnfStyle w:val="000000100000" w:firstRow="0" w:lastRow="0" w:firstColumn="0" w:lastColumn="0" w:oddVBand="0" w:evenVBand="0" w:oddHBand="1" w:evenHBand="0" w:firstRowFirstColumn="0" w:firstRowLastColumn="0" w:lastRowFirstColumn="0" w:lastRowLastColumn="0"/>
              <w:rPr>
                <w:color w:val="auto"/>
              </w:rPr>
            </w:pPr>
            <w:r>
              <w:rPr>
                <w:color w:val="auto"/>
              </w:rPr>
              <w:t>Name of the Applicant for ICS4ICS Credentials</w:t>
            </w:r>
          </w:p>
        </w:tc>
        <w:tc>
          <w:tcPr>
            <w:tcW w:w="2064" w:type="dxa"/>
          </w:tcPr>
          <w:p w14:paraId="5C611EB0" w14:textId="77777777" w:rsidR="006C20B7" w:rsidRPr="00B97F0D" w:rsidRDefault="006C20B7" w:rsidP="00FC62A8">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14E31E6E" w14:textId="56048CC2" w:rsidR="006C20B7" w:rsidRDefault="006C20B7" w:rsidP="00FC62A8">
            <w:pPr>
              <w:pStyle w:val="TableText"/>
              <w:numPr>
                <w:ilvl w:val="0"/>
                <w:numId w:val="0"/>
              </w:numPr>
              <w:cnfStyle w:val="000000100000" w:firstRow="0" w:lastRow="0" w:firstColumn="0" w:lastColumn="0" w:oddVBand="0" w:evenVBand="0" w:oddHBand="1" w:evenHBand="0" w:firstRowFirstColumn="0" w:firstRowLastColumn="0" w:lastRowFirstColumn="0" w:lastRowLastColumn="0"/>
            </w:pPr>
            <w:r>
              <w:t>&lt;enter your name&gt;</w:t>
            </w:r>
          </w:p>
        </w:tc>
      </w:tr>
      <w:tr w:rsidR="00832910" w:rsidRPr="00B97F0D" w14:paraId="395B9EB0" w14:textId="77777777" w:rsidTr="00664DBC">
        <w:trPr>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0EDBA9FA" w14:textId="77777777" w:rsidR="00832910" w:rsidRPr="00A30481" w:rsidRDefault="00832910" w:rsidP="00E20FD1">
            <w:pPr>
              <w:pStyle w:val="Table2RowHeader"/>
              <w:rPr>
                <w:b w:val="0"/>
              </w:rPr>
            </w:pPr>
            <w:r>
              <w:t>Description</w:t>
            </w:r>
          </w:p>
        </w:tc>
        <w:tc>
          <w:tcPr>
            <w:tcW w:w="2477" w:type="dxa"/>
          </w:tcPr>
          <w:p w14:paraId="5BAA89B4" w14:textId="468C3020" w:rsidR="00832910" w:rsidRPr="00832910" w:rsidRDefault="00832910" w:rsidP="00832910">
            <w:pPr>
              <w:pStyle w:val="TableText"/>
              <w:cnfStyle w:val="000000000000" w:firstRow="0" w:lastRow="0" w:firstColumn="0" w:lastColumn="0" w:oddVBand="0" w:evenVBand="0" w:oddHBand="0" w:evenHBand="0" w:firstRowFirstColumn="0" w:firstRowLastColumn="0" w:lastRowFirstColumn="0" w:lastRowLastColumn="0"/>
              <w:rPr>
                <w:color w:val="auto"/>
              </w:rPr>
            </w:pPr>
            <w:r w:rsidRPr="00D56A72">
              <w:rPr>
                <w:color w:val="auto"/>
              </w:rPr>
              <w:t xml:space="preserve">The </w:t>
            </w:r>
            <w:r w:rsidR="004F5192">
              <w:rPr>
                <w:color w:val="auto"/>
              </w:rPr>
              <w:t>SOFR</w:t>
            </w:r>
            <w:r w:rsidRPr="00D56A72">
              <w:rPr>
                <w:color w:val="auto"/>
              </w:rPr>
              <w:t xml:space="preserve"> has </w:t>
            </w:r>
            <w:r w:rsidR="00926688">
              <w:rPr>
                <w:color w:val="auto"/>
              </w:rPr>
              <w:t>safety</w:t>
            </w:r>
            <w:r w:rsidRPr="00D56A72">
              <w:rPr>
                <w:color w:val="auto"/>
              </w:rPr>
              <w:t xml:space="preserve"> responsibility for the incident- which is complex and requires numerous personnel and resources. The </w:t>
            </w:r>
            <w:r w:rsidR="004F5192">
              <w:rPr>
                <w:color w:val="auto"/>
              </w:rPr>
              <w:t>SOFR</w:t>
            </w:r>
            <w:r w:rsidRPr="00D56A72">
              <w:rPr>
                <w:color w:val="auto"/>
              </w:rPr>
              <w:t>:</w:t>
            </w:r>
          </w:p>
        </w:tc>
        <w:tc>
          <w:tcPr>
            <w:tcW w:w="2064" w:type="dxa"/>
          </w:tcPr>
          <w:p w14:paraId="38719EC0" w14:textId="77777777" w:rsidR="00832910" w:rsidRPr="00B97F0D" w:rsidRDefault="00832910" w:rsidP="00E20FD1">
            <w:pPr>
              <w:pStyle w:val="TableText"/>
              <w:cnfStyle w:val="000000000000" w:firstRow="0" w:lastRow="0" w:firstColumn="0" w:lastColumn="0" w:oddVBand="0" w:evenVBand="0" w:oddHBand="0" w:evenHBand="0" w:firstRowFirstColumn="0" w:firstRowLastColumn="0" w:lastRowFirstColumn="0" w:lastRowLastColumn="0"/>
            </w:pPr>
            <w:r>
              <w:t>Not Specified</w:t>
            </w:r>
          </w:p>
        </w:tc>
        <w:tc>
          <w:tcPr>
            <w:tcW w:w="4685" w:type="dxa"/>
          </w:tcPr>
          <w:p w14:paraId="79E3F5DA" w14:textId="23D563A1" w:rsidR="00832910" w:rsidRDefault="00604D41" w:rsidP="00E20FD1">
            <w:pPr>
              <w:pStyle w:val="TableText"/>
              <w:numPr>
                <w:ilvl w:val="0"/>
                <w:numId w:val="0"/>
              </w:numPr>
              <w:cnfStyle w:val="000000000000" w:firstRow="0" w:lastRow="0" w:firstColumn="0" w:lastColumn="0" w:oddVBand="0" w:evenVBand="0" w:oddHBand="0" w:evenHBand="0" w:firstRowFirstColumn="0" w:firstRowLastColumn="0" w:lastRowFirstColumn="0" w:lastRowLastColumn="0"/>
            </w:pPr>
            <w:r>
              <w:t>N/A</w:t>
            </w:r>
          </w:p>
        </w:tc>
      </w:tr>
      <w:tr w:rsidR="00832910" w:rsidRPr="00B97F0D" w14:paraId="0E5B79AF" w14:textId="77777777" w:rsidTr="00664DB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5CEF8726" w14:textId="77777777" w:rsidR="00832910" w:rsidRPr="00A30481" w:rsidRDefault="00832910" w:rsidP="00E20FD1">
            <w:pPr>
              <w:pStyle w:val="Table2RowHeader"/>
              <w:rPr>
                <w:b w:val="0"/>
              </w:rPr>
            </w:pPr>
            <w:r>
              <w:t>Description</w:t>
            </w:r>
          </w:p>
        </w:tc>
        <w:tc>
          <w:tcPr>
            <w:tcW w:w="2477" w:type="dxa"/>
          </w:tcPr>
          <w:p w14:paraId="21B6DAB4" w14:textId="0673D283" w:rsidR="00832910" w:rsidRPr="00202AA0" w:rsidRDefault="00926688" w:rsidP="00202AA0">
            <w:pPr>
              <w:pStyle w:val="TableTextNumbered"/>
              <w:numPr>
                <w:ilvl w:val="1"/>
                <w:numId w:val="27"/>
              </w:numPr>
              <w:cnfStyle w:val="000000100000" w:firstRow="0" w:lastRow="0" w:firstColumn="0" w:lastColumn="0" w:oddVBand="0" w:evenVBand="0" w:oddHBand="1" w:evenHBand="0" w:firstRowFirstColumn="0" w:firstRowLastColumn="0" w:lastRowFirstColumn="0" w:lastRowLastColumn="0"/>
              <w:rPr>
                <w:color w:val="auto"/>
              </w:rPr>
            </w:pPr>
            <w:r>
              <w:t>Identifies incident-related hazardous situations</w:t>
            </w:r>
          </w:p>
        </w:tc>
        <w:tc>
          <w:tcPr>
            <w:tcW w:w="2064" w:type="dxa"/>
          </w:tcPr>
          <w:p w14:paraId="7EF0EC46" w14:textId="77777777" w:rsidR="00832910" w:rsidRPr="00B97F0D"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7BA5452B" w14:textId="77777777" w:rsidR="00832910" w:rsidRDefault="00832910" w:rsidP="00E20FD1">
            <w:pPr>
              <w:pStyle w:val="TableText"/>
              <w:numPr>
                <w:ilvl w:val="0"/>
                <w:numId w:val="0"/>
              </w:numPr>
              <w:cnfStyle w:val="000000100000" w:firstRow="0" w:lastRow="0" w:firstColumn="0" w:lastColumn="0" w:oddVBand="0" w:evenVBand="0" w:oddHBand="1" w:evenHBand="0" w:firstRowFirstColumn="0" w:firstRowLastColumn="0" w:lastRowFirstColumn="0" w:lastRowLastColumn="0"/>
            </w:pPr>
          </w:p>
        </w:tc>
      </w:tr>
      <w:tr w:rsidR="00664DBC" w:rsidRPr="00B97F0D" w14:paraId="698048FA" w14:textId="77777777" w:rsidTr="00664DBC">
        <w:trPr>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13B26C9F" w14:textId="77777777" w:rsidR="00832910" w:rsidRPr="00A30481" w:rsidRDefault="00832910" w:rsidP="00E20FD1">
            <w:pPr>
              <w:pStyle w:val="Table2RowHeader"/>
              <w:rPr>
                <w:b w:val="0"/>
              </w:rPr>
            </w:pPr>
            <w:r>
              <w:t>Description</w:t>
            </w:r>
          </w:p>
        </w:tc>
        <w:tc>
          <w:tcPr>
            <w:tcW w:w="2477" w:type="dxa"/>
          </w:tcPr>
          <w:p w14:paraId="52090D03" w14:textId="6AD15AA8" w:rsidR="00832910" w:rsidRPr="00832910" w:rsidRDefault="00B26857" w:rsidP="00832910">
            <w:pPr>
              <w:pStyle w:val="TableTextNumbered"/>
              <w:numPr>
                <w:ilvl w:val="1"/>
                <w:numId w:val="4"/>
              </w:numPr>
              <w:cnfStyle w:val="000000000000" w:firstRow="0" w:lastRow="0" w:firstColumn="0" w:lastColumn="0" w:oddVBand="0" w:evenVBand="0" w:oddHBand="0" w:evenHBand="0" w:firstRowFirstColumn="0" w:firstRowLastColumn="0" w:lastRowFirstColumn="0" w:lastRowLastColumn="0"/>
            </w:pPr>
            <w:r>
              <w:t>Identifies actions to mitigate risks and hazards with the greatest potential for serious accident or injury</w:t>
            </w:r>
          </w:p>
        </w:tc>
        <w:tc>
          <w:tcPr>
            <w:tcW w:w="2064" w:type="dxa"/>
          </w:tcPr>
          <w:p w14:paraId="40450B40" w14:textId="77777777" w:rsidR="00832910" w:rsidRPr="00B97F0D" w:rsidRDefault="00832910" w:rsidP="00E20FD1">
            <w:pPr>
              <w:pStyle w:val="TableText"/>
              <w:cnfStyle w:val="000000000000" w:firstRow="0" w:lastRow="0" w:firstColumn="0" w:lastColumn="0" w:oddVBand="0" w:evenVBand="0" w:oddHBand="0" w:evenHBand="0" w:firstRowFirstColumn="0" w:firstRowLastColumn="0" w:lastRowFirstColumn="0" w:lastRowLastColumn="0"/>
            </w:pPr>
            <w:r>
              <w:t>Not Specified</w:t>
            </w:r>
          </w:p>
        </w:tc>
        <w:tc>
          <w:tcPr>
            <w:tcW w:w="4685" w:type="dxa"/>
          </w:tcPr>
          <w:p w14:paraId="33CD63F4" w14:textId="77777777" w:rsidR="00832910" w:rsidRDefault="00832910" w:rsidP="00E20FD1">
            <w:pPr>
              <w:pStyle w:val="TableText"/>
              <w:numPr>
                <w:ilvl w:val="0"/>
                <w:numId w:val="0"/>
              </w:numPr>
              <w:cnfStyle w:val="000000000000" w:firstRow="0" w:lastRow="0" w:firstColumn="0" w:lastColumn="0" w:oddVBand="0" w:evenVBand="0" w:oddHBand="0" w:evenHBand="0" w:firstRowFirstColumn="0" w:firstRowLastColumn="0" w:lastRowFirstColumn="0" w:lastRowLastColumn="0"/>
            </w:pPr>
          </w:p>
        </w:tc>
      </w:tr>
      <w:tr w:rsidR="00BC6155" w:rsidRPr="00B97F0D" w14:paraId="12E63EC9" w14:textId="77777777" w:rsidTr="00664DB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2FFA9AC0" w14:textId="77777777" w:rsidR="00832910" w:rsidRPr="00A30481" w:rsidRDefault="00832910" w:rsidP="00E20FD1">
            <w:pPr>
              <w:pStyle w:val="Table2RowHeader"/>
              <w:rPr>
                <w:b w:val="0"/>
              </w:rPr>
            </w:pPr>
            <w:r>
              <w:t>Description</w:t>
            </w:r>
          </w:p>
        </w:tc>
        <w:tc>
          <w:tcPr>
            <w:tcW w:w="2477" w:type="dxa"/>
          </w:tcPr>
          <w:p w14:paraId="31150797" w14:textId="723F0C93" w:rsidR="00832910" w:rsidRPr="00832910" w:rsidRDefault="00B26857" w:rsidP="00832910">
            <w:pPr>
              <w:pStyle w:val="TableTextNumbered"/>
              <w:numPr>
                <w:ilvl w:val="1"/>
                <w:numId w:val="5"/>
              </w:numPr>
              <w:cnfStyle w:val="000000100000" w:firstRow="0" w:lastRow="0" w:firstColumn="0" w:lastColumn="0" w:oddVBand="0" w:evenVBand="0" w:oddHBand="1" w:evenHBand="0" w:firstRowFirstColumn="0" w:firstRowLastColumn="0" w:lastRowFirstColumn="0" w:lastRowLastColumn="0"/>
              <w:rPr>
                <w:color w:val="auto"/>
              </w:rPr>
            </w:pPr>
            <w:r>
              <w:t>Ensures the safety, welfare and accountability of assigned incident personnel</w:t>
            </w:r>
          </w:p>
        </w:tc>
        <w:tc>
          <w:tcPr>
            <w:tcW w:w="2064" w:type="dxa"/>
          </w:tcPr>
          <w:p w14:paraId="0ED0FE0E" w14:textId="77777777" w:rsidR="00832910" w:rsidRPr="00B97F0D"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02AF1C88" w14:textId="77777777" w:rsidR="00832910" w:rsidRDefault="00832910" w:rsidP="00E20FD1">
            <w:pPr>
              <w:pStyle w:val="TableText"/>
              <w:numPr>
                <w:ilvl w:val="0"/>
                <w:numId w:val="0"/>
              </w:numPr>
              <w:cnfStyle w:val="000000100000" w:firstRow="0" w:lastRow="0" w:firstColumn="0" w:lastColumn="0" w:oddVBand="0" w:evenVBand="0" w:oddHBand="1" w:evenHBand="0" w:firstRowFirstColumn="0" w:firstRowLastColumn="0" w:lastRowFirstColumn="0" w:lastRowLastColumn="0"/>
            </w:pPr>
          </w:p>
        </w:tc>
      </w:tr>
      <w:tr w:rsidR="00BC6155" w:rsidRPr="00B97F0D" w14:paraId="1991BE9D" w14:textId="77777777" w:rsidTr="00664DBC">
        <w:trPr>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77B05E7F" w14:textId="77777777" w:rsidR="00832910" w:rsidRPr="00A30481" w:rsidRDefault="00832910" w:rsidP="00E20FD1">
            <w:pPr>
              <w:pStyle w:val="Table2RowHeader"/>
              <w:rPr>
                <w:b w:val="0"/>
              </w:rPr>
            </w:pPr>
            <w:r>
              <w:t>Description</w:t>
            </w:r>
          </w:p>
        </w:tc>
        <w:tc>
          <w:tcPr>
            <w:tcW w:w="2477" w:type="dxa"/>
          </w:tcPr>
          <w:p w14:paraId="639663A4" w14:textId="7FE3FC14" w:rsidR="00832910" w:rsidRPr="00832910" w:rsidRDefault="00B26857" w:rsidP="00832910">
            <w:pPr>
              <w:pStyle w:val="TableTextNumbered"/>
              <w:numPr>
                <w:ilvl w:val="1"/>
                <w:numId w:val="6"/>
              </w:numPr>
              <w:cnfStyle w:val="000000000000" w:firstRow="0" w:lastRow="0" w:firstColumn="0" w:lastColumn="0" w:oddVBand="0" w:evenVBand="0" w:oddHBand="0" w:evenHBand="0" w:firstRowFirstColumn="0" w:firstRowLastColumn="0" w:lastRowFirstColumn="0" w:lastRowLastColumn="0"/>
              <w:rPr>
                <w:color w:val="auto"/>
              </w:rPr>
            </w:pPr>
            <w:r>
              <w:t>Exercises emergency authority to stop unsafe actions at any time</w:t>
            </w:r>
          </w:p>
        </w:tc>
        <w:tc>
          <w:tcPr>
            <w:tcW w:w="2064" w:type="dxa"/>
          </w:tcPr>
          <w:p w14:paraId="1B797042" w14:textId="77777777" w:rsidR="00832910" w:rsidRPr="00B97F0D" w:rsidRDefault="00832910" w:rsidP="00E20FD1">
            <w:pPr>
              <w:pStyle w:val="TableText"/>
              <w:cnfStyle w:val="000000000000" w:firstRow="0" w:lastRow="0" w:firstColumn="0" w:lastColumn="0" w:oddVBand="0" w:evenVBand="0" w:oddHBand="0" w:evenHBand="0" w:firstRowFirstColumn="0" w:firstRowLastColumn="0" w:lastRowFirstColumn="0" w:lastRowLastColumn="0"/>
            </w:pPr>
            <w:r>
              <w:t>Not Specified</w:t>
            </w:r>
          </w:p>
        </w:tc>
        <w:tc>
          <w:tcPr>
            <w:tcW w:w="4685" w:type="dxa"/>
          </w:tcPr>
          <w:p w14:paraId="1CD45A1D" w14:textId="77777777" w:rsidR="00832910" w:rsidRDefault="00832910" w:rsidP="00E20FD1">
            <w:pPr>
              <w:pStyle w:val="TableText"/>
              <w:numPr>
                <w:ilvl w:val="0"/>
                <w:numId w:val="0"/>
              </w:numPr>
              <w:cnfStyle w:val="000000000000" w:firstRow="0" w:lastRow="0" w:firstColumn="0" w:lastColumn="0" w:oddVBand="0" w:evenVBand="0" w:oddHBand="0" w:evenHBand="0" w:firstRowFirstColumn="0" w:firstRowLastColumn="0" w:lastRowFirstColumn="0" w:lastRowLastColumn="0"/>
            </w:pPr>
          </w:p>
        </w:tc>
      </w:tr>
      <w:tr w:rsidR="00BC6155" w:rsidRPr="00B97F0D" w14:paraId="2A6FBED3" w14:textId="77777777" w:rsidTr="00664DB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2D4E4AA0" w14:textId="77777777" w:rsidR="00832910" w:rsidRPr="00A30481" w:rsidRDefault="00832910" w:rsidP="00E20FD1">
            <w:pPr>
              <w:pStyle w:val="Table2RowHeader"/>
              <w:rPr>
                <w:b w:val="0"/>
              </w:rPr>
            </w:pPr>
            <w:r>
              <w:t>Description</w:t>
            </w:r>
          </w:p>
        </w:tc>
        <w:tc>
          <w:tcPr>
            <w:tcW w:w="2477" w:type="dxa"/>
          </w:tcPr>
          <w:p w14:paraId="620D09DC" w14:textId="16BB1521" w:rsidR="00832910" w:rsidRPr="00832910" w:rsidRDefault="00B26857" w:rsidP="00832910">
            <w:pPr>
              <w:pStyle w:val="TableTextNumbered"/>
              <w:numPr>
                <w:ilvl w:val="1"/>
                <w:numId w:val="7"/>
              </w:numPr>
              <w:cnfStyle w:val="000000100000" w:firstRow="0" w:lastRow="0" w:firstColumn="0" w:lastColumn="0" w:oddVBand="0" w:evenVBand="0" w:oddHBand="1" w:evenHBand="0" w:firstRowFirstColumn="0" w:firstRowLastColumn="0" w:lastRowFirstColumn="0" w:lastRowLastColumn="0"/>
              <w:rPr>
                <w:color w:val="auto"/>
              </w:rPr>
            </w:pPr>
            <w:r>
              <w:t>Investigates, or coordinates the investigation of, accidents occurring within the incident area</w:t>
            </w:r>
          </w:p>
        </w:tc>
        <w:tc>
          <w:tcPr>
            <w:tcW w:w="2064" w:type="dxa"/>
          </w:tcPr>
          <w:p w14:paraId="294030EA" w14:textId="77777777" w:rsidR="00832910" w:rsidRPr="00B97F0D"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1EA13B61" w14:textId="77777777" w:rsidR="00832910" w:rsidRDefault="00832910" w:rsidP="00E20FD1">
            <w:pPr>
              <w:pStyle w:val="TableText"/>
              <w:numPr>
                <w:ilvl w:val="0"/>
                <w:numId w:val="0"/>
              </w:numPr>
              <w:cnfStyle w:val="000000100000" w:firstRow="0" w:lastRow="0" w:firstColumn="0" w:lastColumn="0" w:oddVBand="0" w:evenVBand="0" w:oddHBand="1" w:evenHBand="0" w:firstRowFirstColumn="0" w:firstRowLastColumn="0" w:lastRowFirstColumn="0" w:lastRowLastColumn="0"/>
            </w:pPr>
          </w:p>
        </w:tc>
      </w:tr>
      <w:tr w:rsidR="00832910" w:rsidRPr="00B97F0D" w14:paraId="7AAE6B5D" w14:textId="77777777" w:rsidTr="00664DBC">
        <w:trPr>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18B185E6" w14:textId="77777777" w:rsidR="00832910" w:rsidRPr="00A30481" w:rsidRDefault="00832910" w:rsidP="00E20FD1">
            <w:pPr>
              <w:pStyle w:val="Table2RowHeader"/>
              <w:rPr>
                <w:b w:val="0"/>
              </w:rPr>
            </w:pPr>
            <w:r>
              <w:t>Description</w:t>
            </w:r>
          </w:p>
        </w:tc>
        <w:tc>
          <w:tcPr>
            <w:tcW w:w="2477" w:type="dxa"/>
          </w:tcPr>
          <w:p w14:paraId="48D3F4C5" w14:textId="6D786050" w:rsidR="00832910" w:rsidRPr="00832910" w:rsidRDefault="005C564C" w:rsidP="00832910">
            <w:pPr>
              <w:pStyle w:val="TableTextNumbered"/>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t>Conducts safety analyses and prepares reports on all incident facilities and locations, as necessary; communicates safety issues or concerns to incident personnel at shift briefings</w:t>
            </w:r>
          </w:p>
        </w:tc>
        <w:tc>
          <w:tcPr>
            <w:tcW w:w="2064" w:type="dxa"/>
          </w:tcPr>
          <w:p w14:paraId="066213F8" w14:textId="77777777" w:rsidR="00832910" w:rsidRPr="00B97F0D" w:rsidRDefault="00832910" w:rsidP="00E20FD1">
            <w:pPr>
              <w:pStyle w:val="TableText"/>
              <w:cnfStyle w:val="000000000000" w:firstRow="0" w:lastRow="0" w:firstColumn="0" w:lastColumn="0" w:oddVBand="0" w:evenVBand="0" w:oddHBand="0" w:evenHBand="0" w:firstRowFirstColumn="0" w:firstRowLastColumn="0" w:lastRowFirstColumn="0" w:lastRowLastColumn="0"/>
            </w:pPr>
            <w:r>
              <w:t>Not Specified</w:t>
            </w:r>
          </w:p>
        </w:tc>
        <w:tc>
          <w:tcPr>
            <w:tcW w:w="4685" w:type="dxa"/>
          </w:tcPr>
          <w:p w14:paraId="7BA4C1DE" w14:textId="77777777" w:rsidR="00832910" w:rsidRDefault="00832910" w:rsidP="00E20FD1">
            <w:pPr>
              <w:pStyle w:val="TableText"/>
              <w:numPr>
                <w:ilvl w:val="0"/>
                <w:numId w:val="0"/>
              </w:numPr>
              <w:cnfStyle w:val="000000000000" w:firstRow="0" w:lastRow="0" w:firstColumn="0" w:lastColumn="0" w:oddVBand="0" w:evenVBand="0" w:oddHBand="0" w:evenHBand="0" w:firstRowFirstColumn="0" w:firstRowLastColumn="0" w:lastRowFirstColumn="0" w:lastRowLastColumn="0"/>
            </w:pPr>
          </w:p>
        </w:tc>
      </w:tr>
      <w:tr w:rsidR="00832910" w:rsidRPr="00B97F0D" w14:paraId="26E03894" w14:textId="77777777" w:rsidTr="00664DB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4EC0A739" w14:textId="77777777" w:rsidR="00832910" w:rsidRPr="00A30481" w:rsidRDefault="00832910" w:rsidP="00E20FD1">
            <w:pPr>
              <w:pStyle w:val="Table2RowHeader"/>
              <w:rPr>
                <w:b w:val="0"/>
              </w:rPr>
            </w:pPr>
            <w:r>
              <w:t>Description</w:t>
            </w:r>
          </w:p>
        </w:tc>
        <w:tc>
          <w:tcPr>
            <w:tcW w:w="2477" w:type="dxa"/>
          </w:tcPr>
          <w:p w14:paraId="16CE9AD8" w14:textId="06F11C7F" w:rsidR="00832910" w:rsidRPr="00832910" w:rsidRDefault="005C564C" w:rsidP="00832910">
            <w:pPr>
              <w:pStyle w:val="TableTextNumbered"/>
              <w:numPr>
                <w:ilvl w:val="1"/>
                <w:numId w:val="9"/>
              </w:numPr>
              <w:cnfStyle w:val="000000100000" w:firstRow="0" w:lastRow="0" w:firstColumn="0" w:lastColumn="0" w:oddVBand="0" w:evenVBand="0" w:oddHBand="1" w:evenHBand="0" w:firstRowFirstColumn="0" w:firstRowLastColumn="0" w:lastRowFirstColumn="0" w:lastRowLastColumn="0"/>
              <w:rPr>
                <w:color w:val="auto"/>
              </w:rPr>
            </w:pPr>
            <w:r>
              <w:t>Determines the need for subject matter experts or technical specialists to advise on or oversee unique safety issues or hazards, such as confined space, hazardous materials (HAZMAT), infectious diseases and so on</w:t>
            </w:r>
          </w:p>
        </w:tc>
        <w:tc>
          <w:tcPr>
            <w:tcW w:w="2064" w:type="dxa"/>
          </w:tcPr>
          <w:p w14:paraId="0F170E70" w14:textId="77777777" w:rsidR="00832910" w:rsidRPr="00B97F0D"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02919A7C" w14:textId="77777777" w:rsidR="00832910" w:rsidRDefault="00832910" w:rsidP="00E20FD1">
            <w:pPr>
              <w:pStyle w:val="TableText"/>
              <w:numPr>
                <w:ilvl w:val="0"/>
                <w:numId w:val="0"/>
              </w:numPr>
              <w:cnfStyle w:val="000000100000" w:firstRow="0" w:lastRow="0" w:firstColumn="0" w:lastColumn="0" w:oddVBand="0" w:evenVBand="0" w:oddHBand="1" w:evenHBand="0" w:firstRowFirstColumn="0" w:firstRowLastColumn="0" w:lastRowFirstColumn="0" w:lastRowLastColumn="0"/>
            </w:pPr>
          </w:p>
        </w:tc>
      </w:tr>
      <w:tr w:rsidR="00832910" w:rsidRPr="00B97F0D" w14:paraId="48D70C60" w14:textId="77777777" w:rsidTr="00664DBC">
        <w:trPr>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E2F3" w:themeFill="accent1" w:themeFillTint="33"/>
            <w:vAlign w:val="center"/>
          </w:tcPr>
          <w:p w14:paraId="6F8BA79C" w14:textId="77777777" w:rsidR="00832910" w:rsidRPr="00A30481" w:rsidRDefault="00832910" w:rsidP="00E20FD1">
            <w:pPr>
              <w:pStyle w:val="Table2RowHeader"/>
              <w:rPr>
                <w:b w:val="0"/>
              </w:rPr>
            </w:pPr>
            <w:r>
              <w:t>Description</w:t>
            </w:r>
          </w:p>
        </w:tc>
        <w:tc>
          <w:tcPr>
            <w:tcW w:w="2477" w:type="dxa"/>
          </w:tcPr>
          <w:p w14:paraId="0BDCEEEA" w14:textId="7357C16E" w:rsidR="00832910" w:rsidRPr="00832910" w:rsidRDefault="004C4974" w:rsidP="00832910">
            <w:pPr>
              <w:pStyle w:val="TableTextNumbered"/>
              <w:numPr>
                <w:ilvl w:val="1"/>
                <w:numId w:val="10"/>
              </w:numPr>
              <w:cnfStyle w:val="000000000000" w:firstRow="0" w:lastRow="0" w:firstColumn="0" w:lastColumn="0" w:oddVBand="0" w:evenVBand="0" w:oddHBand="0" w:evenHBand="0" w:firstRowFirstColumn="0" w:firstRowLastColumn="0" w:lastRowFirstColumn="0" w:lastRowLastColumn="0"/>
              <w:rPr>
                <w:color w:val="auto"/>
              </w:rPr>
            </w:pPr>
            <w:r>
              <w:t>Assigns and oversees Assistant Safety Officers, technical specialists and subject matter experts, as necessary</w:t>
            </w:r>
          </w:p>
        </w:tc>
        <w:tc>
          <w:tcPr>
            <w:tcW w:w="2064" w:type="dxa"/>
          </w:tcPr>
          <w:p w14:paraId="35C63BC2" w14:textId="77777777" w:rsidR="00832910" w:rsidRPr="00B97F0D" w:rsidRDefault="00832910" w:rsidP="00E20FD1">
            <w:pPr>
              <w:pStyle w:val="TableText"/>
              <w:cnfStyle w:val="000000000000" w:firstRow="0" w:lastRow="0" w:firstColumn="0" w:lastColumn="0" w:oddVBand="0" w:evenVBand="0" w:oddHBand="0" w:evenHBand="0" w:firstRowFirstColumn="0" w:firstRowLastColumn="0" w:lastRowFirstColumn="0" w:lastRowLastColumn="0"/>
            </w:pPr>
            <w:r>
              <w:t>Not Specified</w:t>
            </w:r>
          </w:p>
        </w:tc>
        <w:tc>
          <w:tcPr>
            <w:tcW w:w="4685" w:type="dxa"/>
          </w:tcPr>
          <w:p w14:paraId="10EF5686" w14:textId="77777777" w:rsidR="00832910" w:rsidRDefault="00832910" w:rsidP="00E20FD1">
            <w:pPr>
              <w:pStyle w:val="TableText"/>
              <w:numPr>
                <w:ilvl w:val="0"/>
                <w:numId w:val="0"/>
              </w:numPr>
              <w:cnfStyle w:val="000000000000" w:firstRow="0" w:lastRow="0" w:firstColumn="0" w:lastColumn="0" w:oddVBand="0" w:evenVBand="0" w:oddHBand="0" w:evenHBand="0" w:firstRowFirstColumn="0" w:firstRowLastColumn="0" w:lastRowFirstColumn="0" w:lastRowLastColumn="0"/>
            </w:pPr>
          </w:p>
        </w:tc>
      </w:tr>
      <w:tr w:rsidR="00832910" w:rsidRPr="0059016B" w14:paraId="3CA2F6D5" w14:textId="0829BF3D" w:rsidTr="00664D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3" w:type="dxa"/>
            <w:shd w:val="clear" w:color="auto" w:fill="D9D9D9" w:themeFill="background1" w:themeFillShade="D9"/>
            <w:vAlign w:val="center"/>
          </w:tcPr>
          <w:p w14:paraId="0C8EECD2" w14:textId="364DCAED" w:rsidR="00832910" w:rsidRPr="00A30481" w:rsidRDefault="00832910" w:rsidP="00E20FD1">
            <w:pPr>
              <w:pStyle w:val="Table2RowHeader"/>
              <w:rPr>
                <w:b w:val="0"/>
              </w:rPr>
            </w:pPr>
            <w:r>
              <w:lastRenderedPageBreak/>
              <w:t>Education</w:t>
            </w:r>
          </w:p>
        </w:tc>
        <w:tc>
          <w:tcPr>
            <w:tcW w:w="2477" w:type="dxa"/>
          </w:tcPr>
          <w:p w14:paraId="5C90D248" w14:textId="77777777" w:rsidR="00832910" w:rsidRPr="0059016B"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2064" w:type="dxa"/>
          </w:tcPr>
          <w:p w14:paraId="3ADFF411" w14:textId="77777777" w:rsidR="00832910" w:rsidRPr="0059016B"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449A322B" w14:textId="77777777" w:rsidR="00832910" w:rsidRDefault="00832910" w:rsidP="00E20FD1">
            <w:pPr>
              <w:pStyle w:val="TableText"/>
              <w:cnfStyle w:val="000000100000" w:firstRow="0" w:lastRow="0" w:firstColumn="0" w:lastColumn="0" w:oddVBand="0" w:evenVBand="0" w:oddHBand="1" w:evenHBand="0" w:firstRowFirstColumn="0" w:firstRowLastColumn="0" w:lastRowFirstColumn="0" w:lastRowLastColumn="0"/>
            </w:pPr>
          </w:p>
        </w:tc>
      </w:tr>
      <w:tr w:rsidR="00832910" w:rsidRPr="0059016B" w14:paraId="5B289F0A" w14:textId="6A837F80" w:rsidTr="00664DBC">
        <w:trPr>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D9D9" w:themeFill="background1" w:themeFillShade="D9"/>
            <w:vAlign w:val="center"/>
          </w:tcPr>
          <w:p w14:paraId="52E42E3B" w14:textId="77777777" w:rsidR="00832910" w:rsidRPr="00A30481" w:rsidRDefault="00832910" w:rsidP="00E20FD1">
            <w:pPr>
              <w:pStyle w:val="Table2RowHeader"/>
              <w:rPr>
                <w:b w:val="0"/>
              </w:rPr>
            </w:pPr>
            <w:r>
              <w:t>Training</w:t>
            </w:r>
          </w:p>
        </w:tc>
        <w:tc>
          <w:tcPr>
            <w:tcW w:w="2477" w:type="dxa"/>
          </w:tcPr>
          <w:p w14:paraId="7D46A5E8" w14:textId="77777777" w:rsidR="00832910" w:rsidRPr="008E5DDB" w:rsidRDefault="00832910" w:rsidP="00E20FD1">
            <w:pPr>
              <w:pStyle w:val="TableText"/>
              <w:cnfStyle w:val="000000000000" w:firstRow="0" w:lastRow="0" w:firstColumn="0" w:lastColumn="0" w:oddVBand="0" w:evenVBand="0" w:oddHBand="0" w:evenHBand="0" w:firstRowFirstColumn="0" w:firstRowLastColumn="0" w:lastRowFirstColumn="0" w:lastRowLastColumn="0"/>
              <w:rPr>
                <w:color w:val="auto"/>
              </w:rPr>
            </w:pPr>
            <w:r w:rsidRPr="008E5DDB">
              <w:rPr>
                <w:color w:val="auto"/>
              </w:rPr>
              <w:t>Completion of the following:</w:t>
            </w:r>
          </w:p>
          <w:p w14:paraId="1A57B7F5" w14:textId="77777777" w:rsidR="00832910" w:rsidRPr="00600CCF" w:rsidRDefault="00832910" w:rsidP="00600CCF">
            <w:pPr>
              <w:pStyle w:val="TableTextNumbered"/>
              <w:numPr>
                <w:ilvl w:val="1"/>
                <w:numId w:val="28"/>
              </w:numPr>
              <w:cnfStyle w:val="000000000000" w:firstRow="0" w:lastRow="0" w:firstColumn="0" w:lastColumn="0" w:oddVBand="0" w:evenVBand="0" w:oddHBand="0" w:evenHBand="0" w:firstRowFirstColumn="0" w:firstRowLastColumn="0" w:lastRowFirstColumn="0" w:lastRowLastColumn="0"/>
              <w:rPr>
                <w:color w:val="auto"/>
              </w:rPr>
            </w:pPr>
            <w:r w:rsidRPr="00600CCF">
              <w:rPr>
                <w:color w:val="auto"/>
              </w:rPr>
              <w:t>IS-100: Introduction to the Incident Command System, ICS-100</w:t>
            </w:r>
          </w:p>
          <w:p w14:paraId="32390374" w14:textId="77777777" w:rsidR="00832910" w:rsidRPr="008E5DDB" w:rsidRDefault="00832910" w:rsidP="00E20FD1">
            <w:pPr>
              <w:pStyle w:val="TableTextNumbered"/>
              <w:cnfStyle w:val="000000000000" w:firstRow="0" w:lastRow="0" w:firstColumn="0" w:lastColumn="0" w:oddVBand="0" w:evenVBand="0" w:oddHBand="0" w:evenHBand="0" w:firstRowFirstColumn="0" w:firstRowLastColumn="0" w:lastRowFirstColumn="0" w:lastRowLastColumn="0"/>
              <w:rPr>
                <w:color w:val="auto"/>
              </w:rPr>
            </w:pPr>
            <w:r w:rsidRPr="008E5DDB">
              <w:rPr>
                <w:color w:val="auto"/>
              </w:rPr>
              <w:t>IS-200: Basic Incident Command System for Initial Response, ICS-200</w:t>
            </w:r>
          </w:p>
          <w:p w14:paraId="50463DA0" w14:textId="77777777" w:rsidR="00832910" w:rsidRPr="008E5DDB" w:rsidRDefault="00832910" w:rsidP="00E20FD1">
            <w:pPr>
              <w:pStyle w:val="TableTextNumbered"/>
              <w:cnfStyle w:val="000000000000" w:firstRow="0" w:lastRow="0" w:firstColumn="0" w:lastColumn="0" w:oddVBand="0" w:evenVBand="0" w:oddHBand="0" w:evenHBand="0" w:firstRowFirstColumn="0" w:firstRowLastColumn="0" w:lastRowFirstColumn="0" w:lastRowLastColumn="0"/>
              <w:rPr>
                <w:color w:val="auto"/>
              </w:rPr>
            </w:pPr>
            <w:r w:rsidRPr="008E5DDB">
              <w:rPr>
                <w:color w:val="auto"/>
              </w:rPr>
              <w:t>IS-700: National Incident Management System, An Introduction</w:t>
            </w:r>
          </w:p>
          <w:p w14:paraId="5430201C" w14:textId="77777777" w:rsidR="00832910" w:rsidRPr="008E5DDB" w:rsidRDefault="00832910" w:rsidP="00832910">
            <w:pPr>
              <w:pStyle w:val="TableTextNumbered"/>
              <w:cnfStyle w:val="000000000000" w:firstRow="0" w:lastRow="0" w:firstColumn="0" w:lastColumn="0" w:oddVBand="0" w:evenVBand="0" w:oddHBand="0" w:evenHBand="0" w:firstRowFirstColumn="0" w:firstRowLastColumn="0" w:lastRowFirstColumn="0" w:lastRowLastColumn="0"/>
              <w:rPr>
                <w:color w:val="auto"/>
              </w:rPr>
            </w:pPr>
            <w:r w:rsidRPr="008E5DDB">
              <w:rPr>
                <w:color w:val="auto"/>
              </w:rPr>
              <w:t>IS-800: National Response Framework, An Introduction</w:t>
            </w:r>
          </w:p>
        </w:tc>
        <w:tc>
          <w:tcPr>
            <w:tcW w:w="2064" w:type="dxa"/>
          </w:tcPr>
          <w:p w14:paraId="554CA8B7" w14:textId="77777777" w:rsidR="00832910" w:rsidRPr="008D1D28" w:rsidRDefault="00832910" w:rsidP="00832910">
            <w:pPr>
              <w:pStyle w:val="TableTextNumbered"/>
              <w:numPr>
                <w:ilvl w:val="1"/>
                <w:numId w:val="2"/>
              </w:numPr>
              <w:cnfStyle w:val="000000000000" w:firstRow="0" w:lastRow="0" w:firstColumn="0" w:lastColumn="0" w:oddVBand="0" w:evenVBand="0" w:oddHBand="0" w:evenHBand="0" w:firstRowFirstColumn="0" w:firstRowLastColumn="0" w:lastRowFirstColumn="0" w:lastRowLastColumn="0"/>
            </w:pPr>
            <w:r w:rsidRPr="008D1D28">
              <w:t>Identified equivalent trainings should meet or exceed course learning objectives.</w:t>
            </w:r>
          </w:p>
          <w:p w14:paraId="78F14673" w14:textId="77777777" w:rsidR="00832910" w:rsidRPr="0059016B" w:rsidRDefault="00832910" w:rsidP="00E20FD1">
            <w:pPr>
              <w:pStyle w:val="TableTextNumbered"/>
              <w:cnfStyle w:val="000000000000" w:firstRow="0" w:lastRow="0" w:firstColumn="0" w:lastColumn="0" w:oddVBand="0" w:evenVBand="0" w:oddHBand="0" w:evenHBand="0" w:firstRowFirstColumn="0" w:firstRowLastColumn="0" w:lastRowFirstColumn="0" w:lastRowLastColumn="0"/>
            </w:pPr>
            <w:r w:rsidRPr="008D1D28">
              <w:t>The NIMS Training Program defines a national baseline to guide and promote NIMS training. It provides recommendations to assist Authorit</w:t>
            </w:r>
            <w:r>
              <w:t>ies</w:t>
            </w:r>
            <w:r w:rsidRPr="008D1D28">
              <w:t xml:space="preserve"> Having Jurisdiction (AHJ) in developing their own training plans, tailored to their specific needs.</w:t>
            </w:r>
          </w:p>
        </w:tc>
        <w:tc>
          <w:tcPr>
            <w:tcW w:w="4685" w:type="dxa"/>
          </w:tcPr>
          <w:p w14:paraId="51BF3035" w14:textId="1B79EE3D" w:rsidR="00832910" w:rsidRPr="008D1D28" w:rsidRDefault="00C6570A" w:rsidP="00BC6155">
            <w:pPr>
              <w:pStyle w:val="TableTextNumbered"/>
              <w:numPr>
                <w:ilvl w:val="0"/>
                <w:numId w:val="0"/>
              </w:numPr>
              <w:ind w:left="403" w:hanging="259"/>
              <w:cnfStyle w:val="000000000000" w:firstRow="0" w:lastRow="0" w:firstColumn="0" w:lastColumn="0" w:oddVBand="0" w:evenVBand="0" w:oddHBand="0" w:evenHBand="0" w:firstRowFirstColumn="0" w:firstRowLastColumn="0" w:lastRowFirstColumn="0" w:lastRowLastColumn="0"/>
            </w:pPr>
            <w:r>
              <w:t xml:space="preserve">&lt;list dates that you completed each course or equivalent&gt; </w:t>
            </w:r>
          </w:p>
        </w:tc>
      </w:tr>
      <w:tr w:rsidR="00BC6155" w:rsidRPr="0059016B" w14:paraId="71B6F36C" w14:textId="77777777" w:rsidTr="00664DBC">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FBE4D5" w:themeFill="accent2" w:themeFillTint="33"/>
            <w:vAlign w:val="center"/>
          </w:tcPr>
          <w:p w14:paraId="21735974" w14:textId="77777777" w:rsidR="00BC6155" w:rsidRPr="00A30481" w:rsidRDefault="00BC6155" w:rsidP="00E20FD1">
            <w:pPr>
              <w:pStyle w:val="Table2RowHeader"/>
              <w:rPr>
                <w:b w:val="0"/>
                <w:bCs/>
              </w:rPr>
            </w:pPr>
            <w:r>
              <w:t>Experience</w:t>
            </w:r>
          </w:p>
        </w:tc>
        <w:tc>
          <w:tcPr>
            <w:tcW w:w="2477" w:type="dxa"/>
          </w:tcPr>
          <w:p w14:paraId="13F38976" w14:textId="628700FD" w:rsidR="00BC6155" w:rsidRPr="00BC6155" w:rsidRDefault="00F42969" w:rsidP="00BC6155">
            <w:pPr>
              <w:pStyle w:val="TableTextNumbered"/>
              <w:numPr>
                <w:ilvl w:val="1"/>
                <w:numId w:val="3"/>
              </w:numPr>
              <w:cnfStyle w:val="000000100000" w:firstRow="0" w:lastRow="0" w:firstColumn="0" w:lastColumn="0" w:oddVBand="0" w:evenVBand="0" w:oddHBand="1" w:evenHBand="0" w:firstRowFirstColumn="0" w:firstRowLastColumn="0" w:lastRowFirstColumn="0" w:lastRowLastColumn="0"/>
              <w:rPr>
                <w:color w:val="auto"/>
              </w:rPr>
            </w:pPr>
            <w:r>
              <w:t>Successful completion of the NQS PTB for the NIMS Type</w:t>
            </w:r>
            <w:r w:rsidR="00471714">
              <w:t xml:space="preserve"> </w:t>
            </w:r>
            <w:r w:rsidR="004C4974">
              <w:t>4</w:t>
            </w:r>
            <w:r>
              <w:t xml:space="preserve"> </w:t>
            </w:r>
            <w:r w:rsidR="004C4974">
              <w:t>Safety Officer</w:t>
            </w:r>
            <w:r>
              <w:t>, or equivalent AHJ documentation</w:t>
            </w:r>
          </w:p>
        </w:tc>
        <w:tc>
          <w:tcPr>
            <w:tcW w:w="2064" w:type="dxa"/>
          </w:tcPr>
          <w:p w14:paraId="00ED2C84" w14:textId="77777777" w:rsidR="00BC6155" w:rsidRPr="0059016B" w:rsidRDefault="00BC6155" w:rsidP="00E20FD1">
            <w:pPr>
              <w:pStyle w:val="TableText"/>
              <w:cnfStyle w:val="000000100000" w:firstRow="0" w:lastRow="0" w:firstColumn="0" w:lastColumn="0" w:oddVBand="0" w:evenVBand="0" w:oddHBand="1" w:evenHBand="0" w:firstRowFirstColumn="0" w:firstRowLastColumn="0" w:lastRowFirstColumn="0" w:lastRowLastColumn="0"/>
            </w:pPr>
            <w:r>
              <w:t>Not Specified</w:t>
            </w:r>
          </w:p>
        </w:tc>
        <w:tc>
          <w:tcPr>
            <w:tcW w:w="4685" w:type="dxa"/>
          </w:tcPr>
          <w:p w14:paraId="25D183B8" w14:textId="77777777" w:rsidR="00BC6155" w:rsidRDefault="00BC6155" w:rsidP="00E20FD1">
            <w:pPr>
              <w:pStyle w:val="TableText"/>
              <w:cnfStyle w:val="000000100000" w:firstRow="0" w:lastRow="0" w:firstColumn="0" w:lastColumn="0" w:oddVBand="0" w:evenVBand="0" w:oddHBand="1" w:evenHBand="0" w:firstRowFirstColumn="0" w:firstRowLastColumn="0" w:lastRowFirstColumn="0" w:lastRowLastColumn="0"/>
            </w:pPr>
          </w:p>
        </w:tc>
      </w:tr>
      <w:tr w:rsidR="00BC6155" w:rsidRPr="0059016B" w14:paraId="663E372E" w14:textId="77777777" w:rsidTr="00664DBC">
        <w:trPr>
          <w:cantSplit/>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FBE4D5" w:themeFill="accent2" w:themeFillTint="33"/>
            <w:vAlign w:val="center"/>
          </w:tcPr>
          <w:p w14:paraId="1E23000F" w14:textId="77777777" w:rsidR="00BC6155" w:rsidRPr="00A30481" w:rsidRDefault="00BC6155" w:rsidP="00E20FD1">
            <w:pPr>
              <w:pStyle w:val="Table2RowHeader"/>
              <w:rPr>
                <w:b w:val="0"/>
                <w:bCs/>
              </w:rPr>
            </w:pPr>
            <w:r>
              <w:t>Experience</w:t>
            </w:r>
          </w:p>
        </w:tc>
        <w:tc>
          <w:tcPr>
            <w:tcW w:w="2477" w:type="dxa"/>
          </w:tcPr>
          <w:p w14:paraId="54F8349F" w14:textId="478820FC" w:rsidR="00BC6155" w:rsidRPr="00BC6155" w:rsidRDefault="00A222DE" w:rsidP="00BC6155">
            <w:pPr>
              <w:pStyle w:val="TableTextNumbered"/>
              <w:numPr>
                <w:ilvl w:val="1"/>
                <w:numId w:val="19"/>
              </w:numPr>
              <w:cnfStyle w:val="000000000000" w:firstRow="0" w:lastRow="0" w:firstColumn="0" w:lastColumn="0" w:oddVBand="0" w:evenVBand="0" w:oddHBand="0" w:evenHBand="0" w:firstRowFirstColumn="0" w:firstRowLastColumn="0" w:lastRowFirstColumn="0" w:lastRowLastColumn="0"/>
              <w:rPr>
                <w:color w:val="auto"/>
              </w:rPr>
            </w:pPr>
            <w:r>
              <w:t xml:space="preserve">Experience in </w:t>
            </w:r>
            <w:r w:rsidR="004C4974">
              <w:t>safety</w:t>
            </w:r>
            <w:r>
              <w:t xml:space="preserve"> management in a subordinate position</w:t>
            </w:r>
          </w:p>
        </w:tc>
        <w:tc>
          <w:tcPr>
            <w:tcW w:w="2064" w:type="dxa"/>
          </w:tcPr>
          <w:p w14:paraId="51079413" w14:textId="77777777" w:rsidR="00BC6155" w:rsidRPr="0059016B" w:rsidRDefault="00BC6155" w:rsidP="00E20FD1">
            <w:pPr>
              <w:pStyle w:val="TableText"/>
              <w:cnfStyle w:val="000000000000" w:firstRow="0" w:lastRow="0" w:firstColumn="0" w:lastColumn="0" w:oddVBand="0" w:evenVBand="0" w:oddHBand="0" w:evenHBand="0" w:firstRowFirstColumn="0" w:firstRowLastColumn="0" w:lastRowFirstColumn="0" w:lastRowLastColumn="0"/>
            </w:pPr>
            <w:r>
              <w:t>Not Specified</w:t>
            </w:r>
          </w:p>
        </w:tc>
        <w:tc>
          <w:tcPr>
            <w:tcW w:w="4685" w:type="dxa"/>
          </w:tcPr>
          <w:p w14:paraId="2AC86E5A" w14:textId="77777777" w:rsidR="00BC6155" w:rsidRDefault="00BC6155" w:rsidP="00E20FD1">
            <w:pPr>
              <w:pStyle w:val="TableText"/>
              <w:cnfStyle w:val="000000000000" w:firstRow="0" w:lastRow="0" w:firstColumn="0" w:lastColumn="0" w:oddVBand="0" w:evenVBand="0" w:oddHBand="0" w:evenHBand="0" w:firstRowFirstColumn="0" w:firstRowLastColumn="0" w:lastRowFirstColumn="0" w:lastRowLastColumn="0"/>
            </w:pPr>
          </w:p>
        </w:tc>
      </w:tr>
      <w:tr w:rsidR="00BC6155" w:rsidRPr="0059016B" w14:paraId="6542B5FC" w14:textId="6BDA697A" w:rsidTr="00664DBC">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D9D9" w:themeFill="background1" w:themeFillShade="D9"/>
            <w:vAlign w:val="center"/>
          </w:tcPr>
          <w:p w14:paraId="6B25DE0F" w14:textId="76BA433D" w:rsidR="00832910" w:rsidRPr="00CC33B3" w:rsidRDefault="00832910" w:rsidP="00E20FD1">
            <w:pPr>
              <w:pStyle w:val="Table2RowHeader"/>
            </w:pPr>
            <w:r>
              <w:t>Physical / Medical Fitness</w:t>
            </w:r>
          </w:p>
        </w:tc>
        <w:tc>
          <w:tcPr>
            <w:tcW w:w="2477" w:type="dxa"/>
          </w:tcPr>
          <w:p w14:paraId="795E235F" w14:textId="77777777" w:rsidR="00832910" w:rsidRPr="0059016B" w:rsidRDefault="00832910" w:rsidP="00E20FD1">
            <w:pPr>
              <w:pStyle w:val="TableText"/>
              <w:cnfStyle w:val="000000100000" w:firstRow="0" w:lastRow="0" w:firstColumn="0" w:lastColumn="0" w:oddVBand="0" w:evenVBand="0" w:oddHBand="1" w:evenHBand="0" w:firstRowFirstColumn="0" w:firstRowLastColumn="0" w:lastRowFirstColumn="0" w:lastRowLastColumn="0"/>
            </w:pPr>
            <w:r>
              <w:t>Light</w:t>
            </w:r>
          </w:p>
        </w:tc>
        <w:tc>
          <w:tcPr>
            <w:tcW w:w="2064" w:type="dxa"/>
          </w:tcPr>
          <w:p w14:paraId="2B7FEA0D" w14:textId="77777777" w:rsidR="00832910" w:rsidRPr="0059016B" w:rsidRDefault="00832910" w:rsidP="00E20FD1">
            <w:pPr>
              <w:pStyle w:val="TableText"/>
              <w:numPr>
                <w:ilvl w:val="0"/>
                <w:numId w:val="0"/>
              </w:numPr>
              <w:cnfStyle w:val="000000100000" w:firstRow="0" w:lastRow="0" w:firstColumn="0" w:lastColumn="0" w:oddVBand="0" w:evenVBand="0" w:oddHBand="1" w:evenHBand="0" w:firstRowFirstColumn="0" w:firstRowLastColumn="0" w:lastRowFirstColumn="0" w:lastRowLastColumn="0"/>
            </w:pPr>
            <w:r>
              <w:t>The NIMS Guideline for the NQS defines Physical/Medical Fitness levels for NQS positions.</w:t>
            </w:r>
          </w:p>
        </w:tc>
        <w:tc>
          <w:tcPr>
            <w:tcW w:w="4685" w:type="dxa"/>
          </w:tcPr>
          <w:p w14:paraId="350D60B6" w14:textId="77777777" w:rsidR="00832910" w:rsidRDefault="00832910" w:rsidP="00E20FD1">
            <w:pPr>
              <w:pStyle w:val="TableText"/>
              <w:numPr>
                <w:ilvl w:val="0"/>
                <w:numId w:val="0"/>
              </w:numPr>
              <w:cnfStyle w:val="000000100000" w:firstRow="0" w:lastRow="0" w:firstColumn="0" w:lastColumn="0" w:oddVBand="0" w:evenVBand="0" w:oddHBand="1" w:evenHBand="0" w:firstRowFirstColumn="0" w:firstRowLastColumn="0" w:lastRowFirstColumn="0" w:lastRowLastColumn="0"/>
            </w:pPr>
          </w:p>
        </w:tc>
      </w:tr>
      <w:tr w:rsidR="00BC6155" w:rsidRPr="0059016B" w14:paraId="72140070" w14:textId="5D43F577" w:rsidTr="00664DBC">
        <w:trPr>
          <w:cantSplit/>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D9D9" w:themeFill="background1" w:themeFillShade="D9"/>
            <w:vAlign w:val="center"/>
          </w:tcPr>
          <w:p w14:paraId="4B4C6667" w14:textId="1956A8DE" w:rsidR="00832910" w:rsidRDefault="00832910" w:rsidP="00E20FD1">
            <w:pPr>
              <w:pStyle w:val="Table2RowHeader"/>
            </w:pPr>
            <w:r>
              <w:t>Currency</w:t>
            </w:r>
          </w:p>
        </w:tc>
        <w:tc>
          <w:tcPr>
            <w:tcW w:w="2477" w:type="dxa"/>
          </w:tcPr>
          <w:p w14:paraId="5EC13701" w14:textId="77777777" w:rsidR="00832910" w:rsidRPr="0059016B" w:rsidRDefault="00832910" w:rsidP="00E20FD1">
            <w:pPr>
              <w:pStyle w:val="TableText"/>
              <w:cnfStyle w:val="000000000000" w:firstRow="0" w:lastRow="0" w:firstColumn="0" w:lastColumn="0" w:oddVBand="0" w:evenVBand="0" w:oddHBand="0" w:evenHBand="0" w:firstRowFirstColumn="0" w:firstRowLastColumn="0" w:lastRowFirstColumn="0" w:lastRowLastColumn="0"/>
            </w:pPr>
            <w:r w:rsidRPr="00E92E0A">
              <w:t xml:space="preserve">Functions in this position </w:t>
            </w:r>
            <w:r>
              <w:t xml:space="preserve">or a higher position </w:t>
            </w:r>
            <w:r w:rsidRPr="00E92E0A">
              <w:t xml:space="preserve">during an operational incident, </w:t>
            </w:r>
            <w:r>
              <w:t xml:space="preserve">planned event, </w:t>
            </w:r>
            <w:r w:rsidRPr="00E92E0A">
              <w:t>exercise,</w:t>
            </w:r>
            <w:r>
              <w:t xml:space="preserve"> </w:t>
            </w:r>
            <w:r w:rsidRPr="00E92E0A">
              <w:t xml:space="preserve">drill </w:t>
            </w:r>
            <w:r w:rsidRPr="00AA64EE">
              <w:t>or simulation at least once every three years</w:t>
            </w:r>
          </w:p>
        </w:tc>
        <w:tc>
          <w:tcPr>
            <w:tcW w:w="2064" w:type="dxa"/>
          </w:tcPr>
          <w:p w14:paraId="356801A6" w14:textId="77777777" w:rsidR="00832910" w:rsidRPr="0059016B" w:rsidRDefault="00832910" w:rsidP="00E20FD1">
            <w:pPr>
              <w:pStyle w:val="TableText"/>
              <w:cnfStyle w:val="000000000000" w:firstRow="0" w:lastRow="0" w:firstColumn="0" w:lastColumn="0" w:oddVBand="0" w:evenVBand="0" w:oddHBand="0" w:evenHBand="0" w:firstRowFirstColumn="0" w:firstRowLastColumn="0" w:lastRowFirstColumn="0" w:lastRowLastColumn="0"/>
            </w:pPr>
            <w:r w:rsidRPr="00400AEE">
              <w:t>A higher position is one for which this position is a prerequisite.</w:t>
            </w:r>
          </w:p>
        </w:tc>
        <w:tc>
          <w:tcPr>
            <w:tcW w:w="4685" w:type="dxa"/>
          </w:tcPr>
          <w:p w14:paraId="132CBDC9" w14:textId="77777777" w:rsidR="00832910" w:rsidRPr="00400AEE" w:rsidRDefault="00832910" w:rsidP="00E20FD1">
            <w:pPr>
              <w:pStyle w:val="TableText"/>
              <w:cnfStyle w:val="000000000000" w:firstRow="0" w:lastRow="0" w:firstColumn="0" w:lastColumn="0" w:oddVBand="0" w:evenVBand="0" w:oddHBand="0" w:evenHBand="0" w:firstRowFirstColumn="0" w:firstRowLastColumn="0" w:lastRowFirstColumn="0" w:lastRowLastColumn="0"/>
            </w:pPr>
          </w:p>
        </w:tc>
      </w:tr>
      <w:tr w:rsidR="00BC6155" w14:paraId="591315A5" w14:textId="36797C8C" w:rsidTr="00664DBC">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573" w:type="dxa"/>
            <w:shd w:val="clear" w:color="auto" w:fill="D9D9D9" w:themeFill="background1" w:themeFillShade="D9"/>
            <w:vAlign w:val="center"/>
          </w:tcPr>
          <w:p w14:paraId="0461BF4E" w14:textId="1F2EE7D7" w:rsidR="00832910" w:rsidRDefault="00832910" w:rsidP="00E20FD1">
            <w:pPr>
              <w:pStyle w:val="Table2RowHeader"/>
            </w:pPr>
            <w:r>
              <w:t>Professional and Technical Licenses and Certifications</w:t>
            </w:r>
          </w:p>
        </w:tc>
        <w:tc>
          <w:tcPr>
            <w:tcW w:w="2477" w:type="dxa"/>
          </w:tcPr>
          <w:p w14:paraId="2D5DADD0" w14:textId="77777777" w:rsidR="00832910" w:rsidRDefault="00832910" w:rsidP="00E20FD1">
            <w:pPr>
              <w:pStyle w:val="TableText"/>
              <w:cnfStyle w:val="000000100000" w:firstRow="0" w:lastRow="0" w:firstColumn="0" w:lastColumn="0" w:oddVBand="0" w:evenVBand="0" w:oddHBand="1" w:evenHBand="0" w:firstRowFirstColumn="0" w:firstRowLastColumn="0" w:lastRowFirstColumn="0" w:lastRowLastColumn="0"/>
            </w:pPr>
            <w:r w:rsidRPr="00BF7AE3">
              <w:t>Not Specified</w:t>
            </w:r>
          </w:p>
        </w:tc>
        <w:tc>
          <w:tcPr>
            <w:tcW w:w="2064" w:type="dxa"/>
          </w:tcPr>
          <w:p w14:paraId="7DE1C36D" w14:textId="77777777" w:rsidR="00832910" w:rsidRDefault="00832910" w:rsidP="00E20FD1">
            <w:pPr>
              <w:pStyle w:val="TableText"/>
              <w:cnfStyle w:val="000000100000" w:firstRow="0" w:lastRow="0" w:firstColumn="0" w:lastColumn="0" w:oddVBand="0" w:evenVBand="0" w:oddHBand="1" w:evenHBand="0" w:firstRowFirstColumn="0" w:firstRowLastColumn="0" w:lastRowFirstColumn="0" w:lastRowLastColumn="0"/>
            </w:pPr>
            <w:r w:rsidRPr="00BF7AE3">
              <w:t>Not Specified</w:t>
            </w:r>
          </w:p>
        </w:tc>
        <w:tc>
          <w:tcPr>
            <w:tcW w:w="4685" w:type="dxa"/>
          </w:tcPr>
          <w:p w14:paraId="6DABC6FF" w14:textId="77777777" w:rsidR="00832910" w:rsidRPr="00BF7AE3" w:rsidRDefault="00832910" w:rsidP="00E20FD1">
            <w:pPr>
              <w:pStyle w:val="TableText"/>
              <w:cnfStyle w:val="000000100000" w:firstRow="0" w:lastRow="0" w:firstColumn="0" w:lastColumn="0" w:oddVBand="0" w:evenVBand="0" w:oddHBand="1" w:evenHBand="0" w:firstRowFirstColumn="0" w:firstRowLastColumn="0" w:lastRowFirstColumn="0" w:lastRowLastColumn="0"/>
            </w:pPr>
          </w:p>
        </w:tc>
      </w:tr>
    </w:tbl>
    <w:p w14:paraId="617A7477" w14:textId="77777777" w:rsidR="00832910" w:rsidRDefault="00832910"/>
    <w:sectPr w:rsidR="00832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6AAD"/>
    <w:multiLevelType w:val="multilevel"/>
    <w:tmpl w:val="A566ABA6"/>
    <w:lvl w:ilvl="0">
      <w:start w:val="32"/>
      <w:numFmt w:val="none"/>
      <w:pStyle w:val="TableText"/>
      <w:suff w:val="nothing"/>
      <w:lvlText w:val="%1"/>
      <w:lvlJc w:val="left"/>
      <w:pPr>
        <w:ind w:left="0" w:firstLine="0"/>
      </w:pPr>
      <w:rPr>
        <w:rFonts w:hint="default"/>
      </w:rPr>
    </w:lvl>
    <w:lvl w:ilvl="1">
      <w:start w:val="7"/>
      <w:numFmt w:val="decimal"/>
      <w:pStyle w:val="TableTextNumbered"/>
      <w:lvlText w:val="%2."/>
      <w:lvlJc w:val="left"/>
      <w:pPr>
        <w:ind w:left="403" w:hanging="259"/>
      </w:pPr>
      <w:rPr>
        <w:rFonts w:ascii="Arial Narrow" w:hAnsi="Arial Narrow" w:hint="default"/>
        <w:b w:val="0"/>
        <w:i w:val="0"/>
        <w:color w:val="auto"/>
        <w:sz w:val="18"/>
      </w:rPr>
    </w:lvl>
    <w:lvl w:ilvl="2">
      <w:start w:val="1"/>
      <w:numFmt w:val="decimal"/>
      <w:lvlText w:val="%3."/>
      <w:lvlJc w:val="right"/>
      <w:pPr>
        <w:tabs>
          <w:tab w:val="num" w:pos="504"/>
        </w:tabs>
        <w:ind w:left="504" w:hanging="360"/>
      </w:pPr>
      <w:rPr>
        <w:rFonts w:ascii="Arial" w:hAnsi="Arial" w:hint="default"/>
        <w:b w:val="0"/>
        <w:i w:val="0"/>
        <w:color w:val="auto"/>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79516764">
    <w:abstractNumId w:val="0"/>
  </w:num>
  <w:num w:numId="2" w16cid:durableId="1783916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152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393547">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5345804">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308305">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58264">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526265">
    <w:abstractNumId w:val="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123639">
    <w:abstractNumId w:val="0"/>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955322">
    <w:abstractNumId w:val="0"/>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939658">
    <w:abstractNumId w:val="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141287">
    <w:abstractNumId w:val="0"/>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295789">
    <w:abstractNumId w:val="0"/>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872514">
    <w:abstractNumId w:val="0"/>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269801">
    <w:abstractNumId w:val="0"/>
    <w:lvlOverride w:ilvl="0">
      <w:startOverride w:val="1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155665">
    <w:abstractNumId w:val="0"/>
    <w:lvlOverride w:ilvl="0">
      <w:startOverride w:val="1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5220945">
    <w:abstractNumId w:val="0"/>
    <w:lvlOverride w:ilvl="0">
      <w:startOverride w:val="1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0605697">
    <w:abstractNumId w:val="0"/>
    <w:lvlOverride w:ilvl="0">
      <w:startOverride w:val="1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713006">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308429">
    <w:abstractNumId w:val="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779323">
    <w:abstractNumId w:val="0"/>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241036">
    <w:abstractNumId w:val="0"/>
    <w:lvlOverride w:ilvl="0">
      <w:startOverride w:val="3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8170370">
    <w:abstractNumId w:val="0"/>
  </w:num>
  <w:num w:numId="24" w16cid:durableId="277031868">
    <w:abstractNumId w:val="0"/>
    <w:lvlOverride w:ilvl="0">
      <w:startOverride w:val="3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9549348">
    <w:abstractNumId w:val="0"/>
    <w:lvlOverride w:ilvl="0">
      <w:startOverride w:val="6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8752461">
    <w:abstractNumId w:val="0"/>
    <w:lvlOverride w:ilvl="0">
      <w:startOverride w:val="6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6628661">
    <w:abstractNumId w:val="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0433478">
    <w:abstractNumId w:val="0"/>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10"/>
    <w:rsid w:val="00024C25"/>
    <w:rsid w:val="00025E07"/>
    <w:rsid w:val="00042D3E"/>
    <w:rsid w:val="00137C48"/>
    <w:rsid w:val="00163A46"/>
    <w:rsid w:val="00202AA0"/>
    <w:rsid w:val="002D5DA1"/>
    <w:rsid w:val="00397AF8"/>
    <w:rsid w:val="00471714"/>
    <w:rsid w:val="004C4974"/>
    <w:rsid w:val="004F5192"/>
    <w:rsid w:val="005C564C"/>
    <w:rsid w:val="00600CCF"/>
    <w:rsid w:val="00604D41"/>
    <w:rsid w:val="00664DBC"/>
    <w:rsid w:val="0067247E"/>
    <w:rsid w:val="006C20B7"/>
    <w:rsid w:val="0076564B"/>
    <w:rsid w:val="00832910"/>
    <w:rsid w:val="008D34FD"/>
    <w:rsid w:val="00926688"/>
    <w:rsid w:val="00996209"/>
    <w:rsid w:val="00A222DE"/>
    <w:rsid w:val="00AC4034"/>
    <w:rsid w:val="00B26857"/>
    <w:rsid w:val="00BA1624"/>
    <w:rsid w:val="00BC6155"/>
    <w:rsid w:val="00BD69C2"/>
    <w:rsid w:val="00C6570A"/>
    <w:rsid w:val="00C84A90"/>
    <w:rsid w:val="00CA0795"/>
    <w:rsid w:val="00D44344"/>
    <w:rsid w:val="00E769E1"/>
    <w:rsid w:val="00F4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E5B8"/>
  <w15:chartTrackingRefBased/>
  <w15:docId w15:val="{4CA7D1C6-3EE1-4C02-8879-2EC263A1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10"/>
    <w:pPr>
      <w:spacing w:after="0" w:line="240" w:lineRule="auto"/>
    </w:pPr>
    <w:rPr>
      <w:rFonts w:ascii="Arial" w:eastAsia="Times New Roman" w:hAnsi="Arial" w:cs="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832910"/>
    <w:pPr>
      <w:numPr>
        <w:numId w:val="1"/>
      </w:numPr>
      <w:spacing w:before="40"/>
    </w:pPr>
    <w:rPr>
      <w:rFonts w:ascii="Arial Narrow" w:hAnsi="Arial Narrow"/>
      <w:bCs w:val="0"/>
      <w:color w:val="000000" w:themeColor="text1"/>
    </w:rPr>
  </w:style>
  <w:style w:type="paragraph" w:customStyle="1" w:styleId="TableTextNumbered">
    <w:name w:val="Table Text Numbered"/>
    <w:basedOn w:val="TableText"/>
    <w:qFormat/>
    <w:rsid w:val="00832910"/>
    <w:pPr>
      <w:numPr>
        <w:ilvl w:val="1"/>
      </w:numPr>
    </w:pPr>
  </w:style>
  <w:style w:type="paragraph" w:customStyle="1" w:styleId="TableColumnHeader">
    <w:name w:val="Table Column Header"/>
    <w:basedOn w:val="Normal"/>
    <w:link w:val="TableColumnHeaderChar"/>
    <w:rsid w:val="00832910"/>
    <w:pPr>
      <w:spacing w:before="60" w:after="60"/>
      <w:jc w:val="center"/>
    </w:pPr>
    <w:rPr>
      <w:rFonts w:ascii="Arial Bold" w:hAnsi="Arial Bold"/>
      <w:b/>
      <w:bCs w:val="0"/>
      <w:caps/>
      <w:color w:val="FFFFFF" w:themeColor="background1"/>
      <w:szCs w:val="22"/>
    </w:rPr>
  </w:style>
  <w:style w:type="paragraph" w:customStyle="1" w:styleId="Table2RowHeader">
    <w:name w:val="Table 2 Row Header"/>
    <w:basedOn w:val="Normal"/>
    <w:link w:val="Table2RowHeaderChar"/>
    <w:rsid w:val="00832910"/>
    <w:pPr>
      <w:spacing w:before="120" w:after="120"/>
      <w:jc w:val="center"/>
    </w:pPr>
    <w:rPr>
      <w:rFonts w:ascii="Arial Bold" w:hAnsi="Arial Bold"/>
      <w:caps/>
      <w:color w:val="44546A" w:themeColor="text2"/>
      <w:sz w:val="16"/>
      <w:szCs w:val="22"/>
    </w:rPr>
  </w:style>
  <w:style w:type="character" w:customStyle="1" w:styleId="TableColumnHeaderChar">
    <w:name w:val="Table Column Header Char"/>
    <w:basedOn w:val="DefaultParagraphFont"/>
    <w:link w:val="TableColumnHeader"/>
    <w:rsid w:val="00832910"/>
    <w:rPr>
      <w:rFonts w:ascii="Arial Bold" w:eastAsia="Times New Roman" w:hAnsi="Arial Bold" w:cs="Times New Roman"/>
      <w:b/>
      <w:caps/>
      <w:color w:val="FFFFFF" w:themeColor="background1"/>
      <w:sz w:val="18"/>
    </w:rPr>
  </w:style>
  <w:style w:type="character" w:customStyle="1" w:styleId="Table2RowHeaderChar">
    <w:name w:val="Table 2 Row Header Char"/>
    <w:basedOn w:val="DefaultParagraphFont"/>
    <w:link w:val="Table2RowHeader"/>
    <w:rsid w:val="00832910"/>
    <w:rPr>
      <w:rFonts w:ascii="Arial Bold" w:eastAsia="Times New Roman" w:hAnsi="Arial Bold" w:cs="Times New Roman"/>
      <w:bCs/>
      <w:caps/>
      <w:color w:val="44546A" w:themeColor="text2"/>
      <w:sz w:val="16"/>
    </w:rPr>
  </w:style>
  <w:style w:type="table" w:customStyle="1" w:styleId="PlainTable11">
    <w:name w:val="Plain Table 11"/>
    <w:basedOn w:val="TableNormal"/>
    <w:uiPriority w:val="41"/>
    <w:rsid w:val="00832910"/>
    <w:pPr>
      <w:spacing w:after="0" w:line="240" w:lineRule="auto"/>
    </w:pPr>
    <w:rPr>
      <w:rFonts w:ascii="Times New Roman" w:hAnsi="Times New Roman" w:cstheme="maj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163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A46"/>
    <w:rPr>
      <w:rFonts w:asciiTheme="majorHAnsi" w:eastAsiaTheme="majorEastAsia" w:hAnsiTheme="majorHAnsi" w:cstheme="majorBidi"/>
      <w:bCs/>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Peterson</dc:creator>
  <cp:keywords/>
  <dc:description/>
  <cp:lastModifiedBy>Brian Peterson</cp:lastModifiedBy>
  <cp:revision>32</cp:revision>
  <dcterms:created xsi:type="dcterms:W3CDTF">2022-10-19T03:03:00Z</dcterms:created>
  <dcterms:modified xsi:type="dcterms:W3CDTF">2023-06-22T15:31:00Z</dcterms:modified>
</cp:coreProperties>
</file>