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770E" w14:textId="4013880B" w:rsidR="008D34FD" w:rsidRDefault="00163A46" w:rsidP="00BD69C2">
      <w:pPr>
        <w:pStyle w:val="Title"/>
        <w:ind w:left="-720" w:right="-810"/>
      </w:pPr>
      <w:r w:rsidRPr="00163A46">
        <w:t>ICS4ICS</w:t>
      </w:r>
      <w:r>
        <w:t xml:space="preserve"> </w:t>
      </w:r>
      <w:r w:rsidR="00E75E45">
        <w:t xml:space="preserve">Public Information Officer </w:t>
      </w:r>
      <w:r w:rsidR="00BD69C2">
        <w:t>Type 4 Application</w:t>
      </w:r>
    </w:p>
    <w:p w14:paraId="286555A0" w14:textId="29C86A15" w:rsidR="00163A46" w:rsidRDefault="00163A46" w:rsidP="00163A46">
      <w:pPr>
        <w:ind w:left="-810"/>
      </w:pPr>
    </w:p>
    <w:p w14:paraId="5C94FA2F" w14:textId="6311448C" w:rsidR="00163A46" w:rsidRDefault="00163A46" w:rsidP="00CA0795">
      <w:pPr>
        <w:ind w:left="-810"/>
      </w:pPr>
      <w:r>
        <w:t xml:space="preserve">Please </w:t>
      </w:r>
      <w:r w:rsidR="00137C48">
        <w:t xml:space="preserve">use the right column “Describe Your Qualifications” to </w:t>
      </w:r>
      <w:r w:rsidR="00025E07">
        <w:t xml:space="preserve">describe how you meet each of the requirements to obtain your </w:t>
      </w:r>
      <w:r w:rsidR="00E75E45">
        <w:t xml:space="preserve">Public Information Officer </w:t>
      </w:r>
      <w:r w:rsidR="00CA0795">
        <w:t>Type 4 Credentials.</w:t>
      </w:r>
    </w:p>
    <w:p w14:paraId="6ED5D0DD" w14:textId="1BBA9F35" w:rsidR="00832910" w:rsidRDefault="00832910"/>
    <w:tbl>
      <w:tblPr>
        <w:tblStyle w:val="PlainTable11"/>
        <w:tblW w:w="5775" w:type="pct"/>
        <w:tblInd w:w="-725" w:type="dxa"/>
        <w:tblLayout w:type="fixed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73"/>
        <w:gridCol w:w="2477"/>
        <w:gridCol w:w="2064"/>
        <w:gridCol w:w="4685"/>
      </w:tblGrid>
      <w:tr w:rsidR="00832910" w:rsidRPr="0059016B" w14:paraId="47E639AC" w14:textId="47355AA4" w:rsidTr="00664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44546A" w:themeFill="text2"/>
            <w:vAlign w:val="center"/>
          </w:tcPr>
          <w:p w14:paraId="31D2EC9F" w14:textId="15F60CBD" w:rsidR="00832910" w:rsidRPr="0059016B" w:rsidRDefault="00832910" w:rsidP="00E20FD1">
            <w:pPr>
              <w:pStyle w:val="TableColumnHeader"/>
            </w:pPr>
            <w:r>
              <w:t>Component</w:t>
            </w:r>
          </w:p>
        </w:tc>
        <w:tc>
          <w:tcPr>
            <w:tcW w:w="2477" w:type="dxa"/>
            <w:shd w:val="clear" w:color="auto" w:fill="44546A" w:themeFill="text2"/>
            <w:vAlign w:val="center"/>
          </w:tcPr>
          <w:p w14:paraId="0FDDBF39" w14:textId="77777777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 xml:space="preserve">Type </w:t>
            </w:r>
            <w:r>
              <w:t>4</w:t>
            </w:r>
          </w:p>
        </w:tc>
        <w:tc>
          <w:tcPr>
            <w:tcW w:w="2064" w:type="dxa"/>
            <w:shd w:val="clear" w:color="auto" w:fill="44546A" w:themeFill="text2"/>
            <w:vAlign w:val="center"/>
          </w:tcPr>
          <w:p w14:paraId="48FDB3C4" w14:textId="3CA7D76F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9016B">
              <w:t>Notes</w:t>
            </w:r>
          </w:p>
        </w:tc>
        <w:tc>
          <w:tcPr>
            <w:tcW w:w="4685" w:type="dxa"/>
            <w:shd w:val="clear" w:color="auto" w:fill="44546A" w:themeFill="text2"/>
          </w:tcPr>
          <w:p w14:paraId="64E3130D" w14:textId="3F62CF51" w:rsidR="00832910" w:rsidRPr="0059016B" w:rsidRDefault="00832910" w:rsidP="00E20FD1">
            <w:pPr>
              <w:pStyle w:val="TableColumn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Your Qualifications</w:t>
            </w:r>
          </w:p>
        </w:tc>
      </w:tr>
      <w:tr w:rsidR="006C20B7" w:rsidRPr="00B97F0D" w14:paraId="6813294A" w14:textId="77777777" w:rsidTr="00AC4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E2EFD9" w:themeFill="accent6" w:themeFillTint="33"/>
            <w:vAlign w:val="center"/>
          </w:tcPr>
          <w:p w14:paraId="3B435F96" w14:textId="19942183" w:rsidR="006C20B7" w:rsidRPr="00A30481" w:rsidRDefault="006C20B7" w:rsidP="00FC62A8">
            <w:pPr>
              <w:pStyle w:val="Table2RowHeader"/>
              <w:rPr>
                <w:b w:val="0"/>
              </w:rPr>
            </w:pPr>
            <w:r>
              <w:t>Name</w:t>
            </w:r>
          </w:p>
        </w:tc>
        <w:tc>
          <w:tcPr>
            <w:tcW w:w="2477" w:type="dxa"/>
          </w:tcPr>
          <w:p w14:paraId="22B6DDA1" w14:textId="241C3EBF" w:rsidR="006C20B7" w:rsidRPr="00832910" w:rsidRDefault="00AC4034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Name of the Applicant for ICS4ICS Credentials</w:t>
            </w:r>
          </w:p>
        </w:tc>
        <w:tc>
          <w:tcPr>
            <w:tcW w:w="2064" w:type="dxa"/>
          </w:tcPr>
          <w:p w14:paraId="5C611EB0" w14:textId="77777777" w:rsidR="006C20B7" w:rsidRPr="00B97F0D" w:rsidRDefault="006C20B7" w:rsidP="00FC62A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4E31E6E" w14:textId="56048CC2" w:rsidR="006C20B7" w:rsidRDefault="006C20B7" w:rsidP="00FC62A8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&lt;enter your name&gt;</w:t>
            </w:r>
          </w:p>
        </w:tc>
      </w:tr>
      <w:tr w:rsidR="00832910" w:rsidRPr="00B97F0D" w14:paraId="395B9EB0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0EDBA9FA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BAA89B4" w14:textId="0B986197" w:rsidR="00832910" w:rsidRPr="00832910" w:rsidRDefault="00832910" w:rsidP="0083291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A72">
              <w:rPr>
                <w:color w:val="auto"/>
              </w:rPr>
              <w:t xml:space="preserve">The </w:t>
            </w:r>
            <w:r w:rsidR="0007203F">
              <w:rPr>
                <w:color w:val="auto"/>
              </w:rPr>
              <w:t>PIO</w:t>
            </w:r>
            <w:r w:rsidRPr="00D56A72">
              <w:rPr>
                <w:color w:val="auto"/>
              </w:rPr>
              <w:t xml:space="preserve"> has </w:t>
            </w:r>
            <w:r w:rsidR="0074058C">
              <w:rPr>
                <w:color w:val="auto"/>
              </w:rPr>
              <w:t xml:space="preserve">media and </w:t>
            </w:r>
            <w:r w:rsidR="006B17AD">
              <w:rPr>
                <w:color w:val="auto"/>
              </w:rPr>
              <w:t>public communications</w:t>
            </w:r>
            <w:r w:rsidRPr="00D56A72">
              <w:rPr>
                <w:color w:val="auto"/>
              </w:rPr>
              <w:t xml:space="preserve"> responsibility for the incident- which is complex and requires numerous personnel and resources. The </w:t>
            </w:r>
            <w:r w:rsidR="0007203F">
              <w:rPr>
                <w:color w:val="auto"/>
              </w:rPr>
              <w:t>PIO</w:t>
            </w:r>
            <w:r w:rsidRPr="00D56A72">
              <w:rPr>
                <w:color w:val="auto"/>
              </w:rPr>
              <w:t>:</w:t>
            </w:r>
          </w:p>
        </w:tc>
        <w:tc>
          <w:tcPr>
            <w:tcW w:w="2064" w:type="dxa"/>
          </w:tcPr>
          <w:p w14:paraId="38719EC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9E3F5DA" w14:textId="23D563A1" w:rsidR="00832910" w:rsidRDefault="00604D41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832910" w:rsidRPr="00B97F0D" w14:paraId="0E5B79AF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5CEF872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21B6DAB4" w14:textId="5BC76142" w:rsidR="00832910" w:rsidRPr="00202AA0" w:rsidRDefault="00C91F8D" w:rsidP="00202AA0">
            <w:pPr>
              <w:pStyle w:val="TableTextNumbered"/>
              <w:numPr>
                <w:ilvl w:val="1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Serves in an ICS role</w:t>
            </w:r>
          </w:p>
        </w:tc>
        <w:tc>
          <w:tcPr>
            <w:tcW w:w="2064" w:type="dxa"/>
          </w:tcPr>
          <w:p w14:paraId="7EF0EC46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5452B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BC" w:rsidRPr="00B97F0D" w14:paraId="698048FA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3B26C9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52090D03" w14:textId="017C615A" w:rsidR="00832910" w:rsidRPr="00832910" w:rsidRDefault="00C91F8D" w:rsidP="00832910">
            <w:pPr>
              <w:pStyle w:val="TableTextNumbered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Interfaces with the public, </w:t>
            </w:r>
            <w:proofErr w:type="gramStart"/>
            <w:r>
              <w:t>media</w:t>
            </w:r>
            <w:proofErr w:type="gramEnd"/>
            <w:r>
              <w:t xml:space="preserve"> and other agencies; monitors public information to ensure accuracy</w:t>
            </w:r>
          </w:p>
        </w:tc>
        <w:tc>
          <w:tcPr>
            <w:tcW w:w="2064" w:type="dxa"/>
          </w:tcPr>
          <w:p w14:paraId="40450B40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33CD63F4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12E63EC9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FFA9AC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31150797" w14:textId="52037B49" w:rsidR="00832910" w:rsidRPr="00832910" w:rsidRDefault="0032680C" w:rsidP="00832910">
            <w:pPr>
              <w:pStyle w:val="TableTextNumbered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Engages in active communication and information sharing with elected and appointed officials</w:t>
            </w:r>
          </w:p>
        </w:tc>
        <w:tc>
          <w:tcPr>
            <w:tcW w:w="2064" w:type="dxa"/>
          </w:tcPr>
          <w:p w14:paraId="0ED0FE0E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AF1C88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B97F0D" w14:paraId="1991BE9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77B05E7F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39663A4" w14:textId="45384BC5" w:rsidR="00832910" w:rsidRPr="00832910" w:rsidRDefault="0032680C" w:rsidP="00832910">
            <w:pPr>
              <w:pStyle w:val="TableTextNumbered"/>
              <w:numPr>
                <w:ilvl w:val="1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Collects, verifies, prepares, </w:t>
            </w:r>
            <w:proofErr w:type="gramStart"/>
            <w:r>
              <w:t>coordinates</w:t>
            </w:r>
            <w:proofErr w:type="gramEnd"/>
            <w:r>
              <w:t xml:space="preserve"> and disseminates community-related incident information to the public through the news media, radio, newspaper and social media stakeholders to provide information and updates based on changes in incident status</w:t>
            </w:r>
          </w:p>
        </w:tc>
        <w:tc>
          <w:tcPr>
            <w:tcW w:w="2064" w:type="dxa"/>
          </w:tcPr>
          <w:p w14:paraId="1B797042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CD45A1D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B97F0D" w14:paraId="2A6FBED3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2D4E4AA0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620D09DC" w14:textId="129D11C8" w:rsidR="00832910" w:rsidRPr="00832910" w:rsidRDefault="004D7055" w:rsidP="00832910">
            <w:pPr>
              <w:pStyle w:val="TableTextNumbered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Uses information from other members of the Incident Management Team (IMT) and Command and General Staff to develop accurate, </w:t>
            </w:r>
            <w:proofErr w:type="gramStart"/>
            <w:r>
              <w:t>accessible</w:t>
            </w:r>
            <w:proofErr w:type="gramEnd"/>
            <w:r>
              <w:t xml:space="preserve"> and complete information on an incident’s cause, size, current situation, resources committed and other matters of general interest for internal and external audiences</w:t>
            </w:r>
          </w:p>
        </w:tc>
        <w:tc>
          <w:tcPr>
            <w:tcW w:w="2064" w:type="dxa"/>
          </w:tcPr>
          <w:p w14:paraId="294030EA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1EA13B61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B97F0D" w14:paraId="7AAE6B5D" w14:textId="77777777" w:rsidTr="00664DB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18B185E6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lastRenderedPageBreak/>
              <w:t>Description</w:t>
            </w:r>
          </w:p>
        </w:tc>
        <w:tc>
          <w:tcPr>
            <w:tcW w:w="2477" w:type="dxa"/>
          </w:tcPr>
          <w:p w14:paraId="48D3F4C5" w14:textId="546DC918" w:rsidR="00832910" w:rsidRPr="00832910" w:rsidRDefault="004D7055" w:rsidP="00832910">
            <w:pPr>
              <w:pStyle w:val="TableTextNumbered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Establishes a Joint Information Center (JIC) and a Joint Information System (JIS) as necessary</w:t>
            </w:r>
          </w:p>
        </w:tc>
        <w:tc>
          <w:tcPr>
            <w:tcW w:w="2064" w:type="dxa"/>
          </w:tcPr>
          <w:p w14:paraId="066213F8" w14:textId="77777777" w:rsidR="00832910" w:rsidRPr="00B97F0D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7BA4C1DE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B97F0D" w14:paraId="26E03894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E2F3" w:themeFill="accent1" w:themeFillTint="33"/>
            <w:vAlign w:val="center"/>
          </w:tcPr>
          <w:p w14:paraId="4EC0A739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Description</w:t>
            </w:r>
          </w:p>
        </w:tc>
        <w:tc>
          <w:tcPr>
            <w:tcW w:w="2477" w:type="dxa"/>
          </w:tcPr>
          <w:p w14:paraId="16CE9AD8" w14:textId="29D78162" w:rsidR="00832910" w:rsidRPr="00832910" w:rsidRDefault="00CF1A2E" w:rsidP="00832910">
            <w:pPr>
              <w:pStyle w:val="TableTextNumbered"/>
              <w:numPr>
                <w:ilvl w:val="1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Supervises assistants, as necessary</w:t>
            </w:r>
          </w:p>
        </w:tc>
        <w:tc>
          <w:tcPr>
            <w:tcW w:w="2064" w:type="dxa"/>
          </w:tcPr>
          <w:p w14:paraId="0F170E70" w14:textId="77777777" w:rsidR="00832910" w:rsidRPr="00B97F0D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02919A7C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910" w:rsidRPr="0059016B" w14:paraId="3CA2F6D5" w14:textId="0829BF3D" w:rsidTr="00664DB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C8EECD2" w14:textId="364DCAED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Education</w:t>
            </w:r>
          </w:p>
        </w:tc>
        <w:tc>
          <w:tcPr>
            <w:tcW w:w="2477" w:type="dxa"/>
          </w:tcPr>
          <w:p w14:paraId="5C90D248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2064" w:type="dxa"/>
          </w:tcPr>
          <w:p w14:paraId="3ADFF411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449A322B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2910" w:rsidRPr="0059016B" w14:paraId="5B289F0A" w14:textId="6A837F80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52E42E3B" w14:textId="77777777" w:rsidR="00832910" w:rsidRPr="00A30481" w:rsidRDefault="00832910" w:rsidP="00E20FD1">
            <w:pPr>
              <w:pStyle w:val="Table2RowHeader"/>
              <w:rPr>
                <w:b w:val="0"/>
              </w:rPr>
            </w:pPr>
            <w:r>
              <w:t>Training</w:t>
            </w:r>
          </w:p>
        </w:tc>
        <w:tc>
          <w:tcPr>
            <w:tcW w:w="2477" w:type="dxa"/>
          </w:tcPr>
          <w:p w14:paraId="7D46A5E8" w14:textId="77777777" w:rsidR="00832910" w:rsidRPr="008E5DD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Completion of the following:</w:t>
            </w:r>
          </w:p>
          <w:p w14:paraId="0837C645" w14:textId="77777777" w:rsidR="006C1800" w:rsidRPr="006C1800" w:rsidRDefault="006C1800" w:rsidP="00600CCF">
            <w:pPr>
              <w:pStyle w:val="TableTextNumbered"/>
              <w:numPr>
                <w:ilvl w:val="1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>IS-29: Public Information Officer Awareness</w:t>
            </w:r>
          </w:p>
          <w:p w14:paraId="1A57B7F5" w14:textId="6CF82F34" w:rsidR="00832910" w:rsidRPr="00600CCF" w:rsidRDefault="00832910" w:rsidP="00600CCF">
            <w:pPr>
              <w:pStyle w:val="TableTextNumbered"/>
              <w:numPr>
                <w:ilvl w:val="1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00CCF">
              <w:rPr>
                <w:color w:val="auto"/>
              </w:rPr>
              <w:t>IS-100: Introduction to the Incident Command System, ICS-100</w:t>
            </w:r>
          </w:p>
          <w:p w14:paraId="32390374" w14:textId="77777777" w:rsidR="00832910" w:rsidRPr="008E5DD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IS-200: Basic Incident Command System for Initial Response, ICS-200</w:t>
            </w:r>
          </w:p>
          <w:p w14:paraId="50463DA0" w14:textId="77777777" w:rsidR="00832910" w:rsidRPr="008E5DD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IS-700: National Incident Management System, An Introduction</w:t>
            </w:r>
          </w:p>
          <w:p w14:paraId="5430201C" w14:textId="31C8EF63" w:rsidR="00832910" w:rsidRPr="008E5DDB" w:rsidRDefault="00832910" w:rsidP="00832910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E5DDB">
              <w:rPr>
                <w:color w:val="auto"/>
              </w:rPr>
              <w:t>IS-800: National Response Framework, An Introduction</w:t>
            </w:r>
          </w:p>
        </w:tc>
        <w:tc>
          <w:tcPr>
            <w:tcW w:w="2064" w:type="dxa"/>
          </w:tcPr>
          <w:p w14:paraId="554CA8B7" w14:textId="77777777" w:rsidR="00832910" w:rsidRPr="008D1D28" w:rsidRDefault="00832910" w:rsidP="00832910">
            <w:pPr>
              <w:pStyle w:val="TableTextNumbered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D28">
              <w:t>Identified equivalent trainings should meet or exceed course learning objectives.</w:t>
            </w:r>
          </w:p>
          <w:p w14:paraId="78F14673" w14:textId="77777777" w:rsidR="00832910" w:rsidRPr="0059016B" w:rsidRDefault="00832910" w:rsidP="00E20FD1">
            <w:pPr>
              <w:pStyle w:val="TableTextNumbe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D28">
              <w:t>The NIMS Training Program defines a national baseline to guide and promote NIMS training. It provides recommendations to assist Authorit</w:t>
            </w:r>
            <w:r>
              <w:t>ies</w:t>
            </w:r>
            <w:r w:rsidRPr="008D1D28">
              <w:t xml:space="preserve"> Having Jurisdiction (AHJ) in developing their own training plans, tailored to their specific needs.</w:t>
            </w:r>
          </w:p>
        </w:tc>
        <w:tc>
          <w:tcPr>
            <w:tcW w:w="4685" w:type="dxa"/>
          </w:tcPr>
          <w:p w14:paraId="51BF3035" w14:textId="1B79EE3D" w:rsidR="00832910" w:rsidRPr="008D1D28" w:rsidRDefault="00C6570A" w:rsidP="00BC6155">
            <w:pPr>
              <w:pStyle w:val="TableTextNumbered"/>
              <w:numPr>
                <w:ilvl w:val="0"/>
                <w:numId w:val="0"/>
              </w:numPr>
              <w:ind w:left="403" w:hanging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&lt;list dates that you completed each course or equivalent&gt; </w:t>
            </w:r>
          </w:p>
        </w:tc>
      </w:tr>
      <w:tr w:rsidR="00BC6155" w:rsidRPr="0059016B" w14:paraId="71B6F36C" w14:textId="77777777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21735974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13F38976" w14:textId="2F9C908F" w:rsidR="00BC6155" w:rsidRPr="00BC6155" w:rsidRDefault="00F42969" w:rsidP="00BC6155">
            <w:pPr>
              <w:pStyle w:val="TableTextNumbered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Successful completion of the NQS PTB for the NIMS Type </w:t>
            </w:r>
            <w:r w:rsidR="006B17AD">
              <w:t>4</w:t>
            </w:r>
            <w:r>
              <w:t xml:space="preserve"> </w:t>
            </w:r>
            <w:r w:rsidR="005A4A9D">
              <w:t>Public Information Officer</w:t>
            </w:r>
            <w:r>
              <w:t>, or equivalent AHJ documentation</w:t>
            </w:r>
          </w:p>
        </w:tc>
        <w:tc>
          <w:tcPr>
            <w:tcW w:w="2064" w:type="dxa"/>
          </w:tcPr>
          <w:p w14:paraId="00ED2C84" w14:textId="77777777" w:rsidR="00BC6155" w:rsidRPr="0059016B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5D183B8" w14:textId="77777777" w:rsidR="00BC6155" w:rsidRDefault="00BC6155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663E372E" w14:textId="777777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FBE4D5" w:themeFill="accent2" w:themeFillTint="33"/>
            <w:vAlign w:val="center"/>
          </w:tcPr>
          <w:p w14:paraId="1E23000F" w14:textId="77777777" w:rsidR="00BC6155" w:rsidRPr="00A30481" w:rsidRDefault="00BC6155" w:rsidP="00E20FD1">
            <w:pPr>
              <w:pStyle w:val="Table2RowHeader"/>
              <w:rPr>
                <w:b w:val="0"/>
                <w:bCs/>
              </w:rPr>
            </w:pPr>
            <w:r>
              <w:t>Experience</w:t>
            </w:r>
          </w:p>
        </w:tc>
        <w:tc>
          <w:tcPr>
            <w:tcW w:w="2477" w:type="dxa"/>
          </w:tcPr>
          <w:p w14:paraId="54F8349F" w14:textId="1F7B0F63" w:rsidR="00BC6155" w:rsidRPr="00BC6155" w:rsidRDefault="00A222DE" w:rsidP="00BC6155">
            <w:pPr>
              <w:pStyle w:val="TableTextNumbered"/>
              <w:numPr>
                <w:ilvl w:val="1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t xml:space="preserve">Experience in </w:t>
            </w:r>
            <w:r w:rsidR="005A4A9D">
              <w:t>public information officer</w:t>
            </w:r>
            <w:r>
              <w:t xml:space="preserve"> in a subordinate position</w:t>
            </w:r>
          </w:p>
        </w:tc>
        <w:tc>
          <w:tcPr>
            <w:tcW w:w="2064" w:type="dxa"/>
          </w:tcPr>
          <w:p w14:paraId="51079413" w14:textId="77777777" w:rsidR="00BC6155" w:rsidRPr="0059016B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Specified</w:t>
            </w:r>
          </w:p>
        </w:tc>
        <w:tc>
          <w:tcPr>
            <w:tcW w:w="4685" w:type="dxa"/>
          </w:tcPr>
          <w:p w14:paraId="2AC86E5A" w14:textId="77777777" w:rsidR="00BC6155" w:rsidRDefault="00BC6155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:rsidRPr="0059016B" w14:paraId="6542B5FC" w14:textId="6BDA697A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6B25DE0F" w14:textId="76BA433D" w:rsidR="00832910" w:rsidRPr="00CC33B3" w:rsidRDefault="00832910" w:rsidP="00E20FD1">
            <w:pPr>
              <w:pStyle w:val="Table2RowHeader"/>
            </w:pPr>
            <w:r>
              <w:t>Physical / Medical Fitness</w:t>
            </w:r>
          </w:p>
        </w:tc>
        <w:tc>
          <w:tcPr>
            <w:tcW w:w="2477" w:type="dxa"/>
          </w:tcPr>
          <w:p w14:paraId="795E235F" w14:textId="77777777" w:rsidR="00832910" w:rsidRPr="0059016B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</w:t>
            </w:r>
          </w:p>
        </w:tc>
        <w:tc>
          <w:tcPr>
            <w:tcW w:w="2064" w:type="dxa"/>
          </w:tcPr>
          <w:p w14:paraId="2B7FEA0D" w14:textId="77777777" w:rsidR="00832910" w:rsidRPr="0059016B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NIMS Guideline for the NQS defines Physical/Medical Fitness levels for NQS positions.</w:t>
            </w:r>
          </w:p>
        </w:tc>
        <w:tc>
          <w:tcPr>
            <w:tcW w:w="4685" w:type="dxa"/>
          </w:tcPr>
          <w:p w14:paraId="350D60B6" w14:textId="77777777" w:rsidR="00832910" w:rsidRDefault="00832910" w:rsidP="00E20FD1">
            <w:pPr>
              <w:pStyle w:val="TableTex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155" w:rsidRPr="0059016B" w14:paraId="72140070" w14:textId="5D43F577" w:rsidTr="0066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4B4C6667" w14:textId="1956A8DE" w:rsidR="00832910" w:rsidRDefault="00832910" w:rsidP="00E20FD1">
            <w:pPr>
              <w:pStyle w:val="Table2RowHeader"/>
            </w:pPr>
            <w:r>
              <w:t>Currency</w:t>
            </w:r>
          </w:p>
        </w:tc>
        <w:tc>
          <w:tcPr>
            <w:tcW w:w="2477" w:type="dxa"/>
          </w:tcPr>
          <w:p w14:paraId="5EC13701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E0A">
              <w:t xml:space="preserve">Functions in this position </w:t>
            </w:r>
            <w:r>
              <w:t xml:space="preserve">or a higher position </w:t>
            </w:r>
            <w:r w:rsidRPr="00E92E0A">
              <w:t xml:space="preserve">during an operational incident, </w:t>
            </w:r>
            <w:r>
              <w:t xml:space="preserve">planned event, </w:t>
            </w:r>
            <w:r w:rsidRPr="00E92E0A">
              <w:t>exercise,</w:t>
            </w:r>
            <w:r>
              <w:t xml:space="preserve"> </w:t>
            </w:r>
            <w:r w:rsidRPr="00E92E0A">
              <w:t xml:space="preserve">drill </w:t>
            </w:r>
            <w:r w:rsidRPr="00AA64EE">
              <w:t>or simulation at least once every three years</w:t>
            </w:r>
          </w:p>
        </w:tc>
        <w:tc>
          <w:tcPr>
            <w:tcW w:w="2064" w:type="dxa"/>
          </w:tcPr>
          <w:p w14:paraId="356801A6" w14:textId="77777777" w:rsidR="00832910" w:rsidRPr="0059016B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AEE">
              <w:t>A higher position is one for which this position is a prerequisite.</w:t>
            </w:r>
          </w:p>
        </w:tc>
        <w:tc>
          <w:tcPr>
            <w:tcW w:w="4685" w:type="dxa"/>
          </w:tcPr>
          <w:p w14:paraId="132CBDC9" w14:textId="77777777" w:rsidR="00832910" w:rsidRPr="00400AEE" w:rsidRDefault="00832910" w:rsidP="00E20FD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155" w14:paraId="591315A5" w14:textId="36797C8C" w:rsidTr="00664DBC">
        <w:trPr>
          <w:cantSplit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shd w:val="clear" w:color="auto" w:fill="D9D9D9" w:themeFill="background1" w:themeFillShade="D9"/>
            <w:vAlign w:val="center"/>
          </w:tcPr>
          <w:p w14:paraId="0461BF4E" w14:textId="1F2EE7D7" w:rsidR="00832910" w:rsidRDefault="00832910" w:rsidP="00E20FD1">
            <w:pPr>
              <w:pStyle w:val="Table2RowHeader"/>
            </w:pPr>
            <w:r>
              <w:t>Professional and Technical Licenses and Certifications</w:t>
            </w:r>
          </w:p>
        </w:tc>
        <w:tc>
          <w:tcPr>
            <w:tcW w:w="2477" w:type="dxa"/>
          </w:tcPr>
          <w:p w14:paraId="2D5DADD0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2064" w:type="dxa"/>
          </w:tcPr>
          <w:p w14:paraId="7DE1C36D" w14:textId="77777777" w:rsidR="00832910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7AE3">
              <w:t>Not Specified</w:t>
            </w:r>
          </w:p>
        </w:tc>
        <w:tc>
          <w:tcPr>
            <w:tcW w:w="4685" w:type="dxa"/>
          </w:tcPr>
          <w:p w14:paraId="6DABC6FF" w14:textId="77777777" w:rsidR="00832910" w:rsidRPr="00BF7AE3" w:rsidRDefault="00832910" w:rsidP="00E20F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7A7477" w14:textId="77777777" w:rsidR="00832910" w:rsidRDefault="00832910"/>
    <w:sectPr w:rsidR="00832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AAD"/>
    <w:multiLevelType w:val="multilevel"/>
    <w:tmpl w:val="A566ABA6"/>
    <w:lvl w:ilvl="0">
      <w:start w:val="32"/>
      <w:numFmt w:val="none"/>
      <w:pStyle w:val="TableTex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pStyle w:val="TableTextNumbered"/>
      <w:lvlText w:val="%2."/>
      <w:lvlJc w:val="left"/>
      <w:pPr>
        <w:ind w:left="403" w:hanging="259"/>
      </w:pPr>
      <w:rPr>
        <w:rFonts w:ascii="Arial Narrow" w:hAnsi="Arial Narrow" w:hint="default"/>
        <w:b w:val="0"/>
        <w:i w:val="0"/>
        <w:color w:val="auto"/>
        <w:sz w:val="18"/>
      </w:rPr>
    </w:lvl>
    <w:lvl w:ilvl="2">
      <w:start w:val="1"/>
      <w:numFmt w:val="decimal"/>
      <w:lvlText w:val="%3."/>
      <w:lvlJc w:val="right"/>
      <w:pPr>
        <w:tabs>
          <w:tab w:val="num" w:pos="504"/>
        </w:tabs>
        <w:ind w:left="504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79516764">
    <w:abstractNumId w:val="0"/>
  </w:num>
  <w:num w:numId="2" w16cid:durableId="178391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152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393547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34580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308305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58264">
    <w:abstractNumId w:val="0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526265">
    <w:abstractNumId w:val="0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123639">
    <w:abstractNumId w:val="0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6955322">
    <w:abstractNumId w:val="0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0939658">
    <w:abstractNumId w:val="0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2141287">
    <w:abstractNumId w:val="0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295789">
    <w:abstractNumId w:val="0"/>
    <w:lvlOverride w:ilvl="0">
      <w:startOverride w:val="1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872514">
    <w:abstractNumId w:val="0"/>
    <w:lvlOverride w:ilvl="0">
      <w:startOverride w:val="1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269801">
    <w:abstractNumId w:val="0"/>
    <w:lvlOverride w:ilvl="0">
      <w:startOverride w:val="1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4155665">
    <w:abstractNumId w:val="0"/>
    <w:lvlOverride w:ilvl="0">
      <w:startOverride w:val="1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5220945">
    <w:abstractNumId w:val="0"/>
    <w:lvlOverride w:ilvl="0">
      <w:startOverride w:val="16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0605697">
    <w:abstractNumId w:val="0"/>
    <w:lvlOverride w:ilvl="0">
      <w:startOverride w:val="17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7713006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3308429">
    <w:abstractNumId w:val="0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2779323">
    <w:abstractNumId w:val="0"/>
    <w:lvlOverride w:ilvl="0">
      <w:startOverride w:val="2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241036">
    <w:abstractNumId w:val="0"/>
    <w:lvlOverride w:ilvl="0">
      <w:startOverride w:val="3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8170370">
    <w:abstractNumId w:val="0"/>
  </w:num>
  <w:num w:numId="24" w16cid:durableId="277031868">
    <w:abstractNumId w:val="0"/>
    <w:lvlOverride w:ilvl="0">
      <w:startOverride w:val="3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9549348">
    <w:abstractNumId w:val="0"/>
    <w:lvlOverride w:ilvl="0">
      <w:startOverride w:val="6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8752461">
    <w:abstractNumId w:val="0"/>
    <w:lvlOverride w:ilvl="0">
      <w:startOverride w:val="6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6628661">
    <w:abstractNumId w:val="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0433478">
    <w:abstractNumId w:val="0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0"/>
    <w:rsid w:val="00024C25"/>
    <w:rsid w:val="00025E07"/>
    <w:rsid w:val="00042D3E"/>
    <w:rsid w:val="0007203F"/>
    <w:rsid w:val="00137C48"/>
    <w:rsid w:val="00163A46"/>
    <w:rsid w:val="00202AA0"/>
    <w:rsid w:val="002D5DA1"/>
    <w:rsid w:val="0032680C"/>
    <w:rsid w:val="00397AF8"/>
    <w:rsid w:val="004D7055"/>
    <w:rsid w:val="005A4A9D"/>
    <w:rsid w:val="00600CCF"/>
    <w:rsid w:val="00604D41"/>
    <w:rsid w:val="00664DBC"/>
    <w:rsid w:val="006B17AD"/>
    <w:rsid w:val="006C1800"/>
    <w:rsid w:val="006C20B7"/>
    <w:rsid w:val="0074058C"/>
    <w:rsid w:val="0076564B"/>
    <w:rsid w:val="00832910"/>
    <w:rsid w:val="008D34FD"/>
    <w:rsid w:val="008E02F7"/>
    <w:rsid w:val="00996209"/>
    <w:rsid w:val="00A222DE"/>
    <w:rsid w:val="00AC4034"/>
    <w:rsid w:val="00BA1624"/>
    <w:rsid w:val="00BC6155"/>
    <w:rsid w:val="00BD69C2"/>
    <w:rsid w:val="00C6570A"/>
    <w:rsid w:val="00C91F8D"/>
    <w:rsid w:val="00CA0795"/>
    <w:rsid w:val="00CF1A2E"/>
    <w:rsid w:val="00D44344"/>
    <w:rsid w:val="00E75E45"/>
    <w:rsid w:val="00E769E1"/>
    <w:rsid w:val="00F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E5B8"/>
  <w15:chartTrackingRefBased/>
  <w15:docId w15:val="{4CA7D1C6-3EE1-4C02-8879-2EC263A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10"/>
    <w:pPr>
      <w:spacing w:after="0" w:line="240" w:lineRule="auto"/>
    </w:pPr>
    <w:rPr>
      <w:rFonts w:ascii="Arial" w:eastAsia="Times New Roman" w:hAnsi="Arial" w:cs="Times New Roman"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832910"/>
    <w:pPr>
      <w:numPr>
        <w:numId w:val="1"/>
      </w:numPr>
      <w:spacing w:before="40"/>
    </w:pPr>
    <w:rPr>
      <w:rFonts w:ascii="Arial Narrow" w:hAnsi="Arial Narrow"/>
      <w:bCs w:val="0"/>
      <w:color w:val="000000" w:themeColor="text1"/>
    </w:rPr>
  </w:style>
  <w:style w:type="paragraph" w:customStyle="1" w:styleId="TableTextNumbered">
    <w:name w:val="Table Text Numbered"/>
    <w:basedOn w:val="TableText"/>
    <w:qFormat/>
    <w:rsid w:val="00832910"/>
    <w:pPr>
      <w:numPr>
        <w:ilvl w:val="1"/>
      </w:numPr>
    </w:pPr>
  </w:style>
  <w:style w:type="paragraph" w:customStyle="1" w:styleId="TableColumnHeader">
    <w:name w:val="Table Column Header"/>
    <w:basedOn w:val="Normal"/>
    <w:link w:val="TableColumnHeaderChar"/>
    <w:rsid w:val="00832910"/>
    <w:pPr>
      <w:spacing w:before="60" w:after="60"/>
      <w:jc w:val="center"/>
    </w:pPr>
    <w:rPr>
      <w:rFonts w:ascii="Arial Bold" w:hAnsi="Arial Bold"/>
      <w:b/>
      <w:bCs w:val="0"/>
      <w:caps/>
      <w:color w:val="FFFFFF" w:themeColor="background1"/>
      <w:szCs w:val="22"/>
    </w:rPr>
  </w:style>
  <w:style w:type="paragraph" w:customStyle="1" w:styleId="Table2RowHeader">
    <w:name w:val="Table 2 Row Header"/>
    <w:basedOn w:val="Normal"/>
    <w:link w:val="Table2RowHeaderChar"/>
    <w:rsid w:val="00832910"/>
    <w:pPr>
      <w:spacing w:before="120" w:after="120"/>
      <w:jc w:val="center"/>
    </w:pPr>
    <w:rPr>
      <w:rFonts w:ascii="Arial Bold" w:hAnsi="Arial Bold"/>
      <w:caps/>
      <w:color w:val="44546A" w:themeColor="text2"/>
      <w:sz w:val="16"/>
      <w:szCs w:val="22"/>
    </w:rPr>
  </w:style>
  <w:style w:type="character" w:customStyle="1" w:styleId="TableColumnHeaderChar">
    <w:name w:val="Table Column Header Char"/>
    <w:basedOn w:val="DefaultParagraphFont"/>
    <w:link w:val="TableColumnHeader"/>
    <w:rsid w:val="00832910"/>
    <w:rPr>
      <w:rFonts w:ascii="Arial Bold" w:eastAsia="Times New Roman" w:hAnsi="Arial Bold" w:cs="Times New Roman"/>
      <w:b/>
      <w:caps/>
      <w:color w:val="FFFFFF" w:themeColor="background1"/>
      <w:sz w:val="18"/>
    </w:rPr>
  </w:style>
  <w:style w:type="character" w:customStyle="1" w:styleId="Table2RowHeaderChar">
    <w:name w:val="Table 2 Row Header Char"/>
    <w:basedOn w:val="DefaultParagraphFont"/>
    <w:link w:val="Table2RowHeader"/>
    <w:rsid w:val="00832910"/>
    <w:rPr>
      <w:rFonts w:ascii="Arial Bold" w:eastAsia="Times New Roman" w:hAnsi="Arial Bold" w:cs="Times New Roman"/>
      <w:bCs/>
      <w:caps/>
      <w:color w:val="44546A" w:themeColor="text2"/>
      <w:sz w:val="16"/>
    </w:rPr>
  </w:style>
  <w:style w:type="table" w:customStyle="1" w:styleId="PlainTable11">
    <w:name w:val="Plain Table 11"/>
    <w:basedOn w:val="TableNormal"/>
    <w:uiPriority w:val="41"/>
    <w:rsid w:val="00832910"/>
    <w:pPr>
      <w:spacing w:after="0" w:line="240" w:lineRule="auto"/>
    </w:pPr>
    <w:rPr>
      <w:rFonts w:ascii="Times New Roman" w:hAnsi="Times New Roman" w:cstheme="maj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63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A46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Peterson</dc:creator>
  <cp:keywords/>
  <dc:description/>
  <cp:lastModifiedBy>Brian Peterson</cp:lastModifiedBy>
  <cp:revision>35</cp:revision>
  <dcterms:created xsi:type="dcterms:W3CDTF">2022-10-19T03:03:00Z</dcterms:created>
  <dcterms:modified xsi:type="dcterms:W3CDTF">2023-06-13T04:45:00Z</dcterms:modified>
</cp:coreProperties>
</file>