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FEAB" w14:textId="599ED165" w:rsidR="00806BAB" w:rsidRDefault="008520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3E57C" wp14:editId="4253E207">
                <wp:simplePos x="0" y="0"/>
                <wp:positionH relativeFrom="column">
                  <wp:posOffset>1144905</wp:posOffset>
                </wp:positionH>
                <wp:positionV relativeFrom="paragraph">
                  <wp:posOffset>182880</wp:posOffset>
                </wp:positionV>
                <wp:extent cx="476313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A2355" w14:textId="77777777" w:rsidR="00DB414F" w:rsidRDefault="00DB414F" w:rsidP="008520B5">
                            <w:pPr>
                              <w:pStyle w:val="Title"/>
                            </w:pPr>
                            <w:r>
                              <w:t>Government Reporting</w:t>
                            </w:r>
                            <w:r>
                              <w:t xml:space="preserve"> </w:t>
                            </w:r>
                          </w:p>
                          <w:p w14:paraId="212A410D" w14:textId="79E9FE9F" w:rsidR="008520B5" w:rsidRDefault="009E6AE3" w:rsidP="008520B5">
                            <w:pPr>
                              <w:pStyle w:val="Title"/>
                            </w:pPr>
                            <w:r>
                              <w:t xml:space="preserve">ICS4ICS </w:t>
                            </w:r>
                            <w:r w:rsidR="00240173">
                              <w:t>Procedure</w:t>
                            </w:r>
                            <w: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D3E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15pt;margin-top:14.4pt;width:37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" stroked="f">
                <v:textbox style="mso-fit-shape-to-text:t">
                  <w:txbxContent>
                    <w:p w14:paraId="20DA2355" w14:textId="77777777" w:rsidR="00DB414F" w:rsidRDefault="00DB414F" w:rsidP="008520B5">
                      <w:pPr>
                        <w:pStyle w:val="Title"/>
                      </w:pPr>
                      <w:r>
                        <w:t>Government Reporting</w:t>
                      </w:r>
                      <w:r>
                        <w:t xml:space="preserve"> </w:t>
                      </w:r>
                    </w:p>
                    <w:p w14:paraId="212A410D" w14:textId="79E9FE9F" w:rsidR="008520B5" w:rsidRDefault="009E6AE3" w:rsidP="008520B5">
                      <w:pPr>
                        <w:pStyle w:val="Title"/>
                      </w:pPr>
                      <w:r>
                        <w:t xml:space="preserve">ICS4ICS </w:t>
                      </w:r>
                      <w:r w:rsidR="00240173">
                        <w:t>Procedure</w:t>
                      </w:r>
                      <w:r>
                        <w:t xml:space="preserve">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8B6">
        <w:rPr>
          <w:noProof/>
        </w:rPr>
        <w:drawing>
          <wp:inline distT="0" distB="0" distL="0" distR="0" wp14:anchorId="1B337069" wp14:editId="5FF68081">
            <wp:extent cx="714103" cy="92772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36" cy="94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436" w14:paraId="0ED3605F" w14:textId="77777777" w:rsidTr="00F17436">
        <w:tc>
          <w:tcPr>
            <w:tcW w:w="9350" w:type="dxa"/>
          </w:tcPr>
          <w:p w14:paraId="51AFB34B" w14:textId="77777777" w:rsidR="00F17436" w:rsidRPr="00EC7177" w:rsidRDefault="00F17436" w:rsidP="00F17436">
            <w:pPr>
              <w:pStyle w:val="Heading2"/>
              <w:rPr>
                <w:color w:val="FF0000"/>
              </w:rPr>
            </w:pPr>
            <w:bookmarkStart w:id="0" w:name="_Toc127970994"/>
            <w:r w:rsidRPr="00EC7177">
              <w:rPr>
                <w:color w:val="FF0000"/>
              </w:rPr>
              <w:t>Instructions</w:t>
            </w:r>
          </w:p>
          <w:p w14:paraId="5C7E2055" w14:textId="1D62B539" w:rsidR="00F17436" w:rsidRDefault="00F17436" w:rsidP="00F17436">
            <w:r>
              <w:t xml:space="preserve">The following are suggestions about how you can </w:t>
            </w:r>
            <w:r w:rsidR="00CD6606">
              <w:t>update</w:t>
            </w:r>
            <w:r>
              <w:t xml:space="preserve"> th</w:t>
            </w:r>
            <w:r w:rsidR="00B96D90">
              <w:t xml:space="preserve">is template </w:t>
            </w:r>
            <w:r>
              <w:t xml:space="preserve">to </w:t>
            </w:r>
            <w:r w:rsidR="00F1464F">
              <w:t>create a procedure for your company</w:t>
            </w:r>
            <w:r>
              <w:t>:</w:t>
            </w:r>
          </w:p>
          <w:p w14:paraId="6DAB3FC8" w14:textId="3549EBA1" w:rsidR="00F17436" w:rsidRDefault="00F17436" w:rsidP="00F17436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Identify the roles required on the Decision Team that will manage </w:t>
            </w:r>
            <w:r w:rsidR="002B2179">
              <w:rPr>
                <w:rFonts w:eastAsia="Times New Roman"/>
              </w:rPr>
              <w:t>Government Reporting</w:t>
            </w:r>
            <w:r>
              <w:rPr>
                <w:rFonts w:eastAsia="Times New Roman"/>
              </w:rPr>
              <w:t xml:space="preserve"> decisions</w:t>
            </w:r>
          </w:p>
          <w:p w14:paraId="5DBAD2DE" w14:textId="77777777" w:rsidR="00F17436" w:rsidRDefault="00F17436" w:rsidP="00F17436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Review and update the Decision Considerations based on your company requirements</w:t>
            </w:r>
          </w:p>
          <w:p w14:paraId="63386830" w14:textId="4986473C" w:rsidR="00F17436" w:rsidRDefault="005E043D" w:rsidP="00F17436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Update</w:t>
            </w:r>
            <w:r w:rsidR="00F17436">
              <w:rPr>
                <w:rFonts w:eastAsia="Times New Roman"/>
              </w:rPr>
              <w:t xml:space="preserve"> the </w:t>
            </w:r>
            <w:r>
              <w:rPr>
                <w:rFonts w:eastAsia="Times New Roman"/>
              </w:rPr>
              <w:t xml:space="preserve">section of this </w:t>
            </w:r>
            <w:r w:rsidR="00F17436">
              <w:rPr>
                <w:rFonts w:eastAsia="Times New Roman"/>
              </w:rPr>
              <w:t xml:space="preserve">procedure </w:t>
            </w:r>
            <w:r>
              <w:rPr>
                <w:rFonts w:eastAsia="Times New Roman"/>
              </w:rPr>
              <w:t>describing how to perform Government Reporting</w:t>
            </w:r>
          </w:p>
          <w:p w14:paraId="7F3E857E" w14:textId="06091AF8" w:rsidR="001F21A2" w:rsidRDefault="001F21A2" w:rsidP="00F17436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 w:rsidRPr="001F21A2">
              <w:rPr>
                <w:rFonts w:eastAsia="Times New Roman"/>
              </w:rPr>
              <w:t>Review each law or regulation that impacts your country and industry to understand the actual trigger for when reporting is required</w:t>
            </w:r>
          </w:p>
          <w:p w14:paraId="0947494A" w14:textId="3AAD666F" w:rsidR="00435C34" w:rsidRPr="001F21A2" w:rsidRDefault="00F17436" w:rsidP="001F21A2">
            <w:pPr>
              <w:pStyle w:val="ListParagraph"/>
              <w:numPr>
                <w:ilvl w:val="0"/>
                <w:numId w:val="11"/>
              </w:numPr>
              <w:spacing w:after="160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Test this Procedure</w:t>
            </w:r>
            <w:r w:rsidR="005E043D">
              <w:rPr>
                <w:rFonts w:eastAsia="Times New Roman"/>
              </w:rPr>
              <w:t xml:space="preserve"> annually at minimum</w:t>
            </w:r>
            <w:r>
              <w:rPr>
                <w:rFonts w:eastAsia="Times New Roman"/>
              </w:rPr>
              <w:t xml:space="preserve"> and update</w:t>
            </w:r>
            <w:r w:rsidR="005E043D">
              <w:rPr>
                <w:rFonts w:eastAsia="Times New Roman"/>
              </w:rPr>
              <w:t xml:space="preserve"> the procedures</w:t>
            </w:r>
            <w:r>
              <w:rPr>
                <w:rFonts w:eastAsia="Times New Roman"/>
              </w:rPr>
              <w:t xml:space="preserve"> as </w:t>
            </w:r>
            <w:r w:rsidR="005E043D">
              <w:rPr>
                <w:rFonts w:eastAsia="Times New Roman"/>
              </w:rPr>
              <w:t>needed</w:t>
            </w:r>
          </w:p>
        </w:tc>
      </w:tr>
      <w:tr w:rsidR="0022499C" w14:paraId="489E4DE4" w14:textId="77777777" w:rsidTr="00F17436">
        <w:tc>
          <w:tcPr>
            <w:tcW w:w="9350" w:type="dxa"/>
          </w:tcPr>
          <w:p w14:paraId="3CC52796" w14:textId="1C7F8F60" w:rsidR="0022499C" w:rsidRPr="00EC7177" w:rsidRDefault="0022499C" w:rsidP="0022499C">
            <w:pPr>
              <w:pStyle w:val="Heading2"/>
              <w:rPr>
                <w:color w:val="FF0000"/>
              </w:rPr>
            </w:pPr>
            <w:r>
              <w:rPr>
                <w:color w:val="FF0000"/>
              </w:rPr>
              <w:t>Disclaimer</w:t>
            </w:r>
          </w:p>
          <w:p w14:paraId="2D1B0E85" w14:textId="1831D212" w:rsidR="004E2D5D" w:rsidRPr="00014751" w:rsidRDefault="004E2D5D" w:rsidP="004E2D5D">
            <w:r>
              <w:t>The template</w:t>
            </w:r>
            <w:r>
              <w:t xml:space="preserve"> </w:t>
            </w:r>
            <w:r>
              <w:t xml:space="preserve">was developed by </w:t>
            </w:r>
            <w:r>
              <w:t xml:space="preserve">ICS4ICS </w:t>
            </w:r>
            <w:r>
              <w:t>volunteers</w:t>
            </w:r>
            <w:r>
              <w:t xml:space="preserve">.  </w:t>
            </w:r>
            <w:r w:rsidR="002A7B2B">
              <w:t>The</w:t>
            </w:r>
            <w:r w:rsidR="0022499C" w:rsidRPr="0022499C">
              <w:t xml:space="preserve"> ICS4ICS Program provide</w:t>
            </w:r>
            <w:r w:rsidR="002A7B2B">
              <w:t>s</w:t>
            </w:r>
            <w:r w:rsidR="0022499C" w:rsidRPr="0022499C">
              <w:t xml:space="preserve"> this template to help asset owners create procedures to perform </w:t>
            </w:r>
            <w:r w:rsidR="00662075">
              <w:t xml:space="preserve">ICS4ICS and/or Cyber Incident Response </w:t>
            </w:r>
            <w:r w:rsidR="005A4EC8">
              <w:t>and/</w:t>
            </w:r>
            <w:r w:rsidR="002C2320">
              <w:t xml:space="preserve">or </w:t>
            </w:r>
            <w:r w:rsidR="005A4EC8">
              <w:t xml:space="preserve">other </w:t>
            </w:r>
            <w:r w:rsidR="00101053">
              <w:t xml:space="preserve">related </w:t>
            </w:r>
            <w:r w:rsidR="005A4EC8">
              <w:t>tasks</w:t>
            </w:r>
            <w:r w:rsidR="0022499C" w:rsidRPr="0022499C">
              <w:t xml:space="preserve">.  Each Asset Owners </w:t>
            </w:r>
            <w:r w:rsidR="007F52C2">
              <w:t>must</w:t>
            </w:r>
            <w:r w:rsidR="0022499C" w:rsidRPr="0022499C">
              <w:t xml:space="preserve"> update </w:t>
            </w:r>
            <w:r w:rsidR="007F52C2">
              <w:t xml:space="preserve">this </w:t>
            </w:r>
            <w:r w:rsidR="0022499C" w:rsidRPr="0022499C">
              <w:t xml:space="preserve">template based on </w:t>
            </w:r>
            <w:r w:rsidR="007F52C2">
              <w:t>the needs of</w:t>
            </w:r>
            <w:r w:rsidR="0022499C" w:rsidRPr="0022499C">
              <w:t xml:space="preserve"> </w:t>
            </w:r>
            <w:r w:rsidR="007F52C2">
              <w:t>their company</w:t>
            </w:r>
            <w:r w:rsidR="0022499C" w:rsidRPr="0022499C">
              <w:t xml:space="preserve"> and ensure the procedure is review and approved by the appropriate </w:t>
            </w:r>
            <w:r w:rsidR="007F52C2">
              <w:t>parties</w:t>
            </w:r>
            <w:r w:rsidR="0022499C" w:rsidRPr="0022499C">
              <w:t xml:space="preserve"> </w:t>
            </w:r>
            <w:r w:rsidR="0024375B">
              <w:t xml:space="preserve">(e.g., legal, senior management, corporate governance, government relations, etc.) </w:t>
            </w:r>
            <w:r w:rsidR="0022499C" w:rsidRPr="0022499C">
              <w:t>from within the</w:t>
            </w:r>
            <w:r w:rsidR="00910AC4">
              <w:t>ir</w:t>
            </w:r>
            <w:r w:rsidR="0022499C" w:rsidRPr="0022499C">
              <w:t xml:space="preserve"> company.</w:t>
            </w:r>
            <w:r>
              <w:t xml:space="preserve">  </w:t>
            </w:r>
            <w:r>
              <w:t xml:space="preserve">ISA, ISAGACA, and ICS4ICS cannot attest to </w:t>
            </w:r>
            <w:r w:rsidR="002A7B2B">
              <w:t>the</w:t>
            </w:r>
            <w:r>
              <w:t xml:space="preserve"> accuracy</w:t>
            </w:r>
            <w:r w:rsidR="002A7B2B">
              <w:t xml:space="preserve"> of this document</w:t>
            </w:r>
            <w:r>
              <w:t xml:space="preserve">. </w:t>
            </w:r>
          </w:p>
          <w:p w14:paraId="4D4E1C3E" w14:textId="4D6F31D7" w:rsidR="0022499C" w:rsidRPr="0022499C" w:rsidRDefault="0022499C" w:rsidP="0022499C"/>
        </w:tc>
      </w:tr>
    </w:tbl>
    <w:bookmarkEnd w:id="0"/>
    <w:p w14:paraId="504CA401" w14:textId="77777777" w:rsidR="00842FF7" w:rsidRDefault="00842FF7" w:rsidP="00842FF7">
      <w:pPr>
        <w:pStyle w:val="Heading1"/>
      </w:pPr>
      <w:r>
        <w:t>Purpose</w:t>
      </w:r>
    </w:p>
    <w:p w14:paraId="273C8D9C" w14:textId="26158F8F" w:rsidR="00842FF7" w:rsidRPr="00014751" w:rsidRDefault="00842FF7" w:rsidP="00842FF7">
      <w:r>
        <w:t xml:space="preserve">This document is intended to provide information to describe Government Reporting requirements that can be used by </w:t>
      </w:r>
      <w:r w:rsidR="008B0854">
        <w:t xml:space="preserve">the </w:t>
      </w:r>
      <w:r>
        <w:t>ICS4ICS Team to prepare for government reporting during an incident.</w:t>
      </w:r>
    </w:p>
    <w:p w14:paraId="62C52EC5" w14:textId="77777777" w:rsidR="00842FF7" w:rsidRDefault="00842FF7" w:rsidP="00842FF7">
      <w:pPr>
        <w:pStyle w:val="Heading1"/>
      </w:pPr>
      <w:r>
        <w:t>Situation Trigger</w:t>
      </w:r>
    </w:p>
    <w:p w14:paraId="41A030AE" w14:textId="3E355717" w:rsidR="00842FF7" w:rsidRDefault="002B6349" w:rsidP="00842FF7">
      <w:r>
        <w:t xml:space="preserve">Most laws and regulations that </w:t>
      </w:r>
      <w:r w:rsidR="005406E4">
        <w:t xml:space="preserve">require Government Reporting typically begin the clock for when reporting must occur based on </w:t>
      </w:r>
      <w:r w:rsidR="001F21A2">
        <w:t>when the Incident Commander declares an incident</w:t>
      </w:r>
      <w:r w:rsidR="00842FF7">
        <w:t xml:space="preserve">.  Depending on </w:t>
      </w:r>
      <w:r w:rsidR="001F21A2">
        <w:t>each</w:t>
      </w:r>
      <w:r w:rsidR="00842FF7">
        <w:t xml:space="preserve"> law or regulation the timing that triggers reporting may start earlier.  </w:t>
      </w:r>
    </w:p>
    <w:p w14:paraId="6440F070" w14:textId="77777777" w:rsidR="00842FF7" w:rsidRDefault="00842FF7" w:rsidP="00842FF7">
      <w:pPr>
        <w:pStyle w:val="Heading1"/>
      </w:pPr>
      <w:r w:rsidRPr="0054411A">
        <w:t xml:space="preserve">Decision Team </w:t>
      </w:r>
    </w:p>
    <w:p w14:paraId="2A54DAEC" w14:textId="77777777" w:rsidR="00842FF7" w:rsidRDefault="00842FF7" w:rsidP="00842FF7">
      <w:pPr>
        <w:spacing w:after="0"/>
      </w:pPr>
      <w:r>
        <w:t>The following parties will be engaged to assess the situation, make decisions, and determine next steps:</w:t>
      </w:r>
    </w:p>
    <w:p w14:paraId="145F483C" w14:textId="77777777" w:rsidR="00842FF7" w:rsidRDefault="00842FF7" w:rsidP="00842FF7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Corporate Government Relations (ICS4ICS Government Liaison Officer) - Leader</w:t>
      </w:r>
    </w:p>
    <w:p w14:paraId="2662D7A0" w14:textId="77777777" w:rsidR="00842FF7" w:rsidRDefault="00842FF7" w:rsidP="00842FF7">
      <w:pPr>
        <w:pStyle w:val="ListParagraph"/>
        <w:numPr>
          <w:ilvl w:val="0"/>
          <w:numId w:val="11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Incident Commander</w:t>
      </w:r>
    </w:p>
    <w:p w14:paraId="38F6E6F3" w14:textId="77777777" w:rsidR="00842FF7" w:rsidRDefault="00842FF7" w:rsidP="00842FF7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Operations Section Chief</w:t>
      </w:r>
    </w:p>
    <w:p w14:paraId="7306B93D" w14:textId="217D771C" w:rsidR="00842FF7" w:rsidRDefault="00842FF7" w:rsidP="00842FF7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Intelligence Officer </w:t>
      </w:r>
      <w:r w:rsidR="00256FB9">
        <w:rPr>
          <w:rFonts w:eastAsia="Times New Roman"/>
        </w:rPr>
        <w:t>(in Operations Section)</w:t>
      </w:r>
    </w:p>
    <w:p w14:paraId="63FD4581" w14:textId="77777777" w:rsidR="00842FF7" w:rsidRDefault="00842FF7" w:rsidP="00842FF7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 w:rsidRPr="007A01BC">
        <w:rPr>
          <w:rFonts w:eastAsia="Times New Roman"/>
        </w:rPr>
        <w:t xml:space="preserve">Corporate Legal </w:t>
      </w:r>
      <w:r>
        <w:rPr>
          <w:rFonts w:eastAsia="Times New Roman"/>
        </w:rPr>
        <w:t xml:space="preserve">and outside council </w:t>
      </w:r>
    </w:p>
    <w:p w14:paraId="066058E2" w14:textId="77777777" w:rsidR="00842FF7" w:rsidRPr="00411340" w:rsidRDefault="00842FF7" w:rsidP="00842FF7">
      <w:pPr>
        <w:pStyle w:val="ListParagraph"/>
        <w:numPr>
          <w:ilvl w:val="0"/>
          <w:numId w:val="1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Privacy expert if there is any potential impact on the release or compromise of personal data</w:t>
      </w:r>
    </w:p>
    <w:p w14:paraId="393E829C" w14:textId="77777777" w:rsidR="00842FF7" w:rsidRDefault="00842FF7" w:rsidP="00842FF7">
      <w:pPr>
        <w:pStyle w:val="Heading1"/>
      </w:pPr>
      <w:r w:rsidRPr="0054411A">
        <w:lastRenderedPageBreak/>
        <w:t xml:space="preserve">Decision </w:t>
      </w:r>
      <w:r>
        <w:t>Process</w:t>
      </w:r>
    </w:p>
    <w:p w14:paraId="2E257077" w14:textId="77777777" w:rsidR="00842FF7" w:rsidRDefault="00842FF7" w:rsidP="00842FF7">
      <w:pPr>
        <w:spacing w:after="0"/>
      </w:pPr>
      <w:r>
        <w:t>The Decision Team will consider the following factors to make decisions about government reporting:</w:t>
      </w:r>
    </w:p>
    <w:p w14:paraId="6D585E3E" w14:textId="77777777" w:rsidR="00842FF7" w:rsidRDefault="00842FF7" w:rsidP="00842FF7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Understand Government Reporting Requirement (e.g., an assessment must be completed prior to an incident, and a table created describing government reporting requirements that impact your operations based on countries and industries); understand the legal reporting timing based on laws and regulations</w:t>
      </w:r>
    </w:p>
    <w:p w14:paraId="722468A1" w14:textId="77777777" w:rsidR="00842FF7" w:rsidRDefault="00842FF7" w:rsidP="00842FF7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Review Corporate Policies (e.g., an assessment must be completed prior to an incident, and a table created summarizing any Corporate Policies that may impact how the company will voluntarily report incidents to the government when not legally required)</w:t>
      </w:r>
    </w:p>
    <w:p w14:paraId="79CEEF48" w14:textId="77777777" w:rsidR="00842FF7" w:rsidRDefault="00842FF7" w:rsidP="00842FF7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Ensure that all government reporting efforts are performed collectively even if there are different agencies that must receiving reporting AND that the reporting messages are consistent</w:t>
      </w:r>
    </w:p>
    <w:p w14:paraId="12BE94AC" w14:textId="77777777" w:rsidR="00842FF7" w:rsidRDefault="00842FF7" w:rsidP="00842FF7">
      <w:pPr>
        <w:pStyle w:val="ListParagraph"/>
        <w:numPr>
          <w:ilvl w:val="0"/>
          <w:numId w:val="1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Identify reporting approval processes (e.g., identify who must approve government reports and ensure they have sufficient Delegation of Authority)</w:t>
      </w:r>
    </w:p>
    <w:p w14:paraId="345A332C" w14:textId="77777777" w:rsidR="00842FF7" w:rsidRDefault="00842FF7" w:rsidP="00842FF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369EAAA" w14:textId="77777777" w:rsidR="00842FF7" w:rsidRDefault="00842FF7" w:rsidP="00842FF7">
      <w:pPr>
        <w:pStyle w:val="Heading1"/>
      </w:pPr>
      <w:r w:rsidRPr="0054411A">
        <w:lastRenderedPageBreak/>
        <w:t>Decision</w:t>
      </w:r>
      <w:r>
        <w:t xml:space="preserve"> Factors (Table)</w:t>
      </w:r>
    </w:p>
    <w:p w14:paraId="115C40C5" w14:textId="77777777" w:rsidR="00842FF7" w:rsidRDefault="00842FF7" w:rsidP="00842FF7">
      <w:pPr>
        <w:spacing w:after="0"/>
      </w:pPr>
      <w:r>
        <w:t>The Decision Team will consider the following factors to make decisions about the ransomware: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594"/>
        <w:gridCol w:w="1026"/>
        <w:gridCol w:w="5108"/>
      </w:tblGrid>
      <w:tr w:rsidR="00842FF7" w14:paraId="26A4E7BC" w14:textId="77777777" w:rsidTr="00AB040D">
        <w:tc>
          <w:tcPr>
            <w:tcW w:w="1746" w:type="dxa"/>
            <w:shd w:val="clear" w:color="auto" w:fill="BFBFBF" w:themeFill="background1" w:themeFillShade="BF"/>
          </w:tcPr>
          <w:p w14:paraId="1B2D8436" w14:textId="77777777" w:rsidR="00842FF7" w:rsidRDefault="00842FF7" w:rsidP="00AB040D">
            <w:r>
              <w:t>Type</w:t>
            </w:r>
          </w:p>
        </w:tc>
        <w:tc>
          <w:tcPr>
            <w:tcW w:w="1601" w:type="dxa"/>
            <w:shd w:val="clear" w:color="auto" w:fill="BFBFBF" w:themeFill="background1" w:themeFillShade="BF"/>
          </w:tcPr>
          <w:p w14:paraId="3C35B966" w14:textId="77777777" w:rsidR="00842FF7" w:rsidRDefault="00842FF7" w:rsidP="00AB040D">
            <w:r>
              <w:t>Enforcement</w:t>
            </w:r>
          </w:p>
        </w:tc>
        <w:tc>
          <w:tcPr>
            <w:tcW w:w="1058" w:type="dxa"/>
            <w:shd w:val="clear" w:color="auto" w:fill="BFBFBF" w:themeFill="background1" w:themeFillShade="BF"/>
          </w:tcPr>
          <w:p w14:paraId="74165737" w14:textId="77777777" w:rsidR="00842FF7" w:rsidRDefault="00842FF7" w:rsidP="00AB040D">
            <w:r>
              <w:t>Timing</w:t>
            </w:r>
          </w:p>
        </w:tc>
        <w:tc>
          <w:tcPr>
            <w:tcW w:w="6385" w:type="dxa"/>
            <w:shd w:val="clear" w:color="auto" w:fill="BFBFBF" w:themeFill="background1" w:themeFillShade="BF"/>
          </w:tcPr>
          <w:p w14:paraId="181CDF08" w14:textId="77777777" w:rsidR="00842FF7" w:rsidRDefault="00842FF7" w:rsidP="00AB040D">
            <w:r>
              <w:t>Description</w:t>
            </w:r>
          </w:p>
        </w:tc>
      </w:tr>
      <w:tr w:rsidR="00842FF7" w14:paraId="103BC334" w14:textId="77777777" w:rsidTr="00AB040D">
        <w:tc>
          <w:tcPr>
            <w:tcW w:w="1746" w:type="dxa"/>
          </w:tcPr>
          <w:p w14:paraId="1F5AE91F" w14:textId="77777777" w:rsidR="00842FF7" w:rsidRDefault="00842FF7" w:rsidP="00AB040D">
            <w:r>
              <w:t>Law and Regulations</w:t>
            </w:r>
          </w:p>
        </w:tc>
        <w:tc>
          <w:tcPr>
            <w:tcW w:w="1601" w:type="dxa"/>
          </w:tcPr>
          <w:p w14:paraId="7DAE0B39" w14:textId="77777777" w:rsidR="00842FF7" w:rsidRDefault="00842FF7" w:rsidP="00AB040D">
            <w:r>
              <w:t>Required</w:t>
            </w:r>
          </w:p>
        </w:tc>
        <w:tc>
          <w:tcPr>
            <w:tcW w:w="1058" w:type="dxa"/>
          </w:tcPr>
          <w:p w14:paraId="18F1760E" w14:textId="77777777" w:rsidR="00842FF7" w:rsidRDefault="00842FF7" w:rsidP="00AB040D">
            <w:r>
              <w:t>&lt;when&gt;</w:t>
            </w:r>
          </w:p>
        </w:tc>
        <w:tc>
          <w:tcPr>
            <w:tcW w:w="6385" w:type="dxa"/>
          </w:tcPr>
          <w:p w14:paraId="024AC3BE" w14:textId="77777777" w:rsidR="00842FF7" w:rsidRDefault="00842FF7" w:rsidP="00AB040D">
            <w:r>
              <w:t>See the table below</w:t>
            </w:r>
          </w:p>
          <w:p w14:paraId="0943FC89" w14:textId="77777777" w:rsidR="00842FF7" w:rsidRPr="0024157C" w:rsidRDefault="00842FF7" w:rsidP="00AB040D">
            <w:pPr>
              <w:rPr>
                <w:b/>
                <w:bCs/>
              </w:rPr>
            </w:pPr>
            <w:r w:rsidRPr="0024157C">
              <w:rPr>
                <w:b/>
                <w:bCs/>
              </w:rPr>
              <w:t>NOTE:  Ensure local laws, regulations, and reporting expectations are included</w:t>
            </w:r>
          </w:p>
        </w:tc>
      </w:tr>
      <w:tr w:rsidR="00842FF7" w14:paraId="0AE07BB7" w14:textId="77777777" w:rsidTr="00AB040D">
        <w:tc>
          <w:tcPr>
            <w:tcW w:w="1746" w:type="dxa"/>
          </w:tcPr>
          <w:p w14:paraId="5FBC6B89" w14:textId="77777777" w:rsidR="00842FF7" w:rsidRDefault="00842FF7" w:rsidP="00AB040D">
            <w:r>
              <w:t>Law and Regulations</w:t>
            </w:r>
          </w:p>
        </w:tc>
        <w:tc>
          <w:tcPr>
            <w:tcW w:w="1601" w:type="dxa"/>
          </w:tcPr>
          <w:p w14:paraId="5A764690" w14:textId="77777777" w:rsidR="00842FF7" w:rsidRDefault="00842FF7" w:rsidP="00AB040D">
            <w:r>
              <w:t>Recommended</w:t>
            </w:r>
          </w:p>
        </w:tc>
        <w:tc>
          <w:tcPr>
            <w:tcW w:w="1058" w:type="dxa"/>
          </w:tcPr>
          <w:p w14:paraId="067DF81B" w14:textId="77777777" w:rsidR="00842FF7" w:rsidRDefault="00842FF7" w:rsidP="00AB040D"/>
        </w:tc>
        <w:tc>
          <w:tcPr>
            <w:tcW w:w="6385" w:type="dxa"/>
          </w:tcPr>
          <w:p w14:paraId="29A3C59A" w14:textId="77777777" w:rsidR="00842FF7" w:rsidRDefault="00842FF7" w:rsidP="00AB040D">
            <w:r>
              <w:t>See the table below</w:t>
            </w:r>
          </w:p>
        </w:tc>
      </w:tr>
      <w:tr w:rsidR="00842FF7" w14:paraId="698D19CB" w14:textId="77777777" w:rsidTr="00AB040D">
        <w:tc>
          <w:tcPr>
            <w:tcW w:w="1746" w:type="dxa"/>
          </w:tcPr>
          <w:p w14:paraId="60F6DBFE" w14:textId="77777777" w:rsidR="00842FF7" w:rsidRDefault="00842FF7" w:rsidP="00AB040D">
            <w:r>
              <w:t>Corp Policy</w:t>
            </w:r>
          </w:p>
        </w:tc>
        <w:tc>
          <w:tcPr>
            <w:tcW w:w="1601" w:type="dxa"/>
          </w:tcPr>
          <w:p w14:paraId="7962882B" w14:textId="77777777" w:rsidR="00842FF7" w:rsidRDefault="00842FF7" w:rsidP="00AB040D">
            <w:r>
              <w:t>Required or recommended</w:t>
            </w:r>
          </w:p>
        </w:tc>
        <w:tc>
          <w:tcPr>
            <w:tcW w:w="1058" w:type="dxa"/>
          </w:tcPr>
          <w:p w14:paraId="540EE536" w14:textId="77777777" w:rsidR="00842FF7" w:rsidRDefault="00842FF7" w:rsidP="00AB040D"/>
        </w:tc>
        <w:tc>
          <w:tcPr>
            <w:tcW w:w="6385" w:type="dxa"/>
          </w:tcPr>
          <w:p w14:paraId="5A7C31BE" w14:textId="77777777" w:rsidR="00842FF7" w:rsidRDefault="00842FF7" w:rsidP="00AB040D">
            <w:r>
              <w:t>&lt;describe each Corp Policy requirement that impacts reporting decisions&gt;</w:t>
            </w:r>
          </w:p>
        </w:tc>
      </w:tr>
      <w:tr w:rsidR="00842FF7" w14:paraId="1543952F" w14:textId="77777777" w:rsidTr="00AB040D">
        <w:tc>
          <w:tcPr>
            <w:tcW w:w="1746" w:type="dxa"/>
          </w:tcPr>
          <w:p w14:paraId="65235D6E" w14:textId="77777777" w:rsidR="00842FF7" w:rsidRDefault="00842FF7" w:rsidP="00AB040D">
            <w:r>
              <w:t>Decision Approval</w:t>
            </w:r>
          </w:p>
        </w:tc>
        <w:tc>
          <w:tcPr>
            <w:tcW w:w="1601" w:type="dxa"/>
          </w:tcPr>
          <w:p w14:paraId="18C43941" w14:textId="77777777" w:rsidR="00842FF7" w:rsidRDefault="00842FF7" w:rsidP="00AB040D">
            <w:r>
              <w:t>Required</w:t>
            </w:r>
          </w:p>
        </w:tc>
        <w:tc>
          <w:tcPr>
            <w:tcW w:w="1058" w:type="dxa"/>
          </w:tcPr>
          <w:p w14:paraId="3AD5227E" w14:textId="77777777" w:rsidR="00842FF7" w:rsidRDefault="00842FF7" w:rsidP="00AB040D"/>
        </w:tc>
        <w:tc>
          <w:tcPr>
            <w:tcW w:w="6385" w:type="dxa"/>
          </w:tcPr>
          <w:p w14:paraId="1D99183D" w14:textId="77777777" w:rsidR="00842FF7" w:rsidRDefault="00842FF7" w:rsidP="00AB040D">
            <w:r>
              <w:t>&lt;describe company decision processes required to finalize decisions&gt;</w:t>
            </w:r>
          </w:p>
        </w:tc>
      </w:tr>
    </w:tbl>
    <w:p w14:paraId="5CBEE851" w14:textId="77777777" w:rsidR="00842FF7" w:rsidRDefault="00842FF7" w:rsidP="00842FF7">
      <w:pPr>
        <w:spacing w:after="0"/>
      </w:pPr>
    </w:p>
    <w:p w14:paraId="22E346C4" w14:textId="77777777" w:rsidR="00842FF7" w:rsidRDefault="00842FF7" w:rsidP="00842FF7">
      <w:pPr>
        <w:pStyle w:val="Heading1"/>
      </w:pPr>
      <w:r>
        <w:t>Reporting Requirements and Recommendations</w:t>
      </w:r>
    </w:p>
    <w:p w14:paraId="041E90CB" w14:textId="77777777" w:rsidR="00842FF7" w:rsidRDefault="00842FF7" w:rsidP="00842FF7">
      <w:pPr>
        <w:pStyle w:val="Heading2"/>
      </w:pPr>
      <w:r>
        <w:t>Cybersecurity Laws and Regulations</w:t>
      </w:r>
    </w:p>
    <w:p w14:paraId="23A56914" w14:textId="77777777" w:rsidR="00842FF7" w:rsidRDefault="00842FF7" w:rsidP="00842FF7">
      <w:pPr>
        <w:spacing w:after="0"/>
      </w:pPr>
      <w:r>
        <w:t>Instructions:  Review this table to identify laws and regulations that are applicable to the countries and industries for your company.   Include those that apply in the “Decision Factors (Table)”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1300"/>
        <w:gridCol w:w="1588"/>
        <w:gridCol w:w="5116"/>
      </w:tblGrid>
      <w:tr w:rsidR="00842FF7" w14:paraId="3C2E5A72" w14:textId="77777777" w:rsidTr="00AB040D">
        <w:trPr>
          <w:cantSplit/>
          <w:tblHeader/>
        </w:trPr>
        <w:tc>
          <w:tcPr>
            <w:tcW w:w="1424" w:type="dxa"/>
            <w:shd w:val="clear" w:color="auto" w:fill="BFBFBF" w:themeFill="background1" w:themeFillShade="BF"/>
          </w:tcPr>
          <w:p w14:paraId="1BBCF9FC" w14:textId="77777777" w:rsidR="00842FF7" w:rsidRDefault="00842FF7" w:rsidP="00AB040D">
            <w:r>
              <w:t>Country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3BCF0A98" w14:textId="77777777" w:rsidR="00842FF7" w:rsidRDefault="00842FF7" w:rsidP="00AB040D">
            <w:r>
              <w:t>Type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14:paraId="10D63F17" w14:textId="77777777" w:rsidR="00842FF7" w:rsidRDefault="00842FF7" w:rsidP="00AB040D">
            <w:r>
              <w:t>Enforcement</w:t>
            </w:r>
          </w:p>
        </w:tc>
        <w:tc>
          <w:tcPr>
            <w:tcW w:w="6222" w:type="dxa"/>
            <w:shd w:val="clear" w:color="auto" w:fill="BFBFBF" w:themeFill="background1" w:themeFillShade="BF"/>
          </w:tcPr>
          <w:p w14:paraId="063F0EFB" w14:textId="77777777" w:rsidR="00842FF7" w:rsidRDefault="00842FF7" w:rsidP="00AB040D">
            <w:r>
              <w:t>Description</w:t>
            </w:r>
          </w:p>
        </w:tc>
      </w:tr>
      <w:tr w:rsidR="00842FF7" w14:paraId="51CA9BB4" w14:textId="77777777" w:rsidTr="00AB040D">
        <w:trPr>
          <w:cantSplit/>
          <w:trHeight w:val="890"/>
        </w:trPr>
        <w:tc>
          <w:tcPr>
            <w:tcW w:w="1424" w:type="dxa"/>
          </w:tcPr>
          <w:p w14:paraId="5950A825" w14:textId="77777777" w:rsidR="00842FF7" w:rsidRDefault="00842FF7" w:rsidP="00AB040D">
            <w:r>
              <w:t>Australia</w:t>
            </w:r>
          </w:p>
        </w:tc>
        <w:tc>
          <w:tcPr>
            <w:tcW w:w="1428" w:type="dxa"/>
          </w:tcPr>
          <w:p w14:paraId="064F8064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32FD33DA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36BAFC86" w14:textId="77777777" w:rsidR="00842FF7" w:rsidRDefault="00842FF7" w:rsidP="00AB040D">
            <w:r>
              <w:t>All critical assets within a critical infrastructure sector</w:t>
            </w:r>
          </w:p>
          <w:p w14:paraId="3E7681B6" w14:textId="77777777" w:rsidR="00842FF7" w:rsidRPr="0086242D" w:rsidRDefault="00842FF7" w:rsidP="00AB040D">
            <w:pPr>
              <w:rPr>
                <w:color w:val="0563C1"/>
                <w:u w:val="single"/>
              </w:rPr>
            </w:pPr>
            <w:hyperlink r:id="rId9" w:history="1">
              <w:r>
                <w:rPr>
                  <w:rStyle w:val="Hyperlink"/>
                </w:rPr>
                <w:t>CISC Factsheet - Cyber Security Incident Reporting</w:t>
              </w:r>
            </w:hyperlink>
          </w:p>
          <w:p w14:paraId="635B0592" w14:textId="77777777" w:rsidR="00842FF7" w:rsidRDefault="00842FF7" w:rsidP="00AB040D">
            <w:pPr>
              <w:rPr>
                <w:rStyle w:val="Hyperlink"/>
              </w:rPr>
            </w:pPr>
            <w:hyperlink r:id="rId10" w:history="1">
              <w:r>
                <w:rPr>
                  <w:rStyle w:val="Hyperlink"/>
                </w:rPr>
                <w:t>Regulatory obligations (cisc.gov.au)</w:t>
              </w:r>
            </w:hyperlink>
          </w:p>
          <w:p w14:paraId="35F1A5CE" w14:textId="77777777" w:rsidR="00842FF7" w:rsidRDefault="00842FF7" w:rsidP="00AB040D">
            <w:hyperlink r:id="rId11" w:history="1">
              <w:r w:rsidRPr="00512127">
                <w:rPr>
                  <w:rStyle w:val="Hyperlink"/>
                </w:rPr>
                <w:t>https://www.pwc.com.au/cyber-security-digital-trust/critical-infrastructure/learnings-from-applying-the-soci-regime.html</w:t>
              </w:r>
            </w:hyperlink>
            <w:r>
              <w:rPr>
                <w:rStyle w:val="Hyperlink"/>
              </w:rPr>
              <w:t>`</w:t>
            </w:r>
          </w:p>
          <w:p w14:paraId="12729BAB" w14:textId="77777777" w:rsidR="00842FF7" w:rsidRPr="005103BF" w:rsidRDefault="00842FF7" w:rsidP="00AB040D">
            <w:hyperlink r:id="rId12" w:history="1">
              <w:r w:rsidRPr="00512127">
                <w:rPr>
                  <w:rStyle w:val="Hyperlink"/>
                </w:rPr>
                <w:t>https://www.rapid7.com/globalassets/_pdfs/Rapid7-Incident-Reporting-Regulation-Summary-Chart-080822.pdf</w:t>
              </w:r>
            </w:hyperlink>
          </w:p>
        </w:tc>
      </w:tr>
      <w:tr w:rsidR="00842FF7" w14:paraId="6B9A9607" w14:textId="77777777" w:rsidTr="00AB040D">
        <w:trPr>
          <w:cantSplit/>
          <w:trHeight w:val="890"/>
        </w:trPr>
        <w:tc>
          <w:tcPr>
            <w:tcW w:w="1424" w:type="dxa"/>
          </w:tcPr>
          <w:p w14:paraId="64C42526" w14:textId="77777777" w:rsidR="00842FF7" w:rsidRDefault="00842FF7" w:rsidP="00AB040D">
            <w:r>
              <w:t>Brazil</w:t>
            </w:r>
          </w:p>
        </w:tc>
        <w:tc>
          <w:tcPr>
            <w:tcW w:w="1428" w:type="dxa"/>
          </w:tcPr>
          <w:p w14:paraId="53D21E10" w14:textId="77777777" w:rsidR="00842FF7" w:rsidRDefault="00842FF7" w:rsidP="00AB040D">
            <w:r>
              <w:t>President Directive</w:t>
            </w:r>
          </w:p>
        </w:tc>
        <w:tc>
          <w:tcPr>
            <w:tcW w:w="1716" w:type="dxa"/>
          </w:tcPr>
          <w:p w14:paraId="3ED81DEF" w14:textId="77777777" w:rsidR="00842FF7" w:rsidRDefault="00842FF7" w:rsidP="00AB040D">
            <w:r>
              <w:t>Information</w:t>
            </w:r>
          </w:p>
        </w:tc>
        <w:tc>
          <w:tcPr>
            <w:tcW w:w="6222" w:type="dxa"/>
          </w:tcPr>
          <w:p w14:paraId="040136AA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Critical Infrastructure</w:t>
            </w:r>
          </w:p>
          <w:p w14:paraId="3D9ACD42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NATIONAL SECURITY STRATEGY FOR CRITICAL INFRASTRUCTURES</w:t>
            </w:r>
          </w:p>
          <w:p w14:paraId="76C12AF9" w14:textId="77777777" w:rsidR="00842FF7" w:rsidRDefault="00842FF7" w:rsidP="00AB040D">
            <w:pPr>
              <w:rPr>
                <w:rFonts w:eastAsia="Times New Roman"/>
              </w:rPr>
            </w:pPr>
            <w:hyperlink r:id="rId13" w:history="1">
              <w:r>
                <w:rPr>
                  <w:rStyle w:val="Hyperlink"/>
                </w:rPr>
                <w:t>D10566 (planalto.gov.br)</w:t>
              </w:r>
            </w:hyperlink>
          </w:p>
        </w:tc>
      </w:tr>
      <w:tr w:rsidR="00842FF7" w14:paraId="4C284912" w14:textId="77777777" w:rsidTr="00AB040D">
        <w:trPr>
          <w:cantSplit/>
          <w:trHeight w:val="890"/>
        </w:trPr>
        <w:tc>
          <w:tcPr>
            <w:tcW w:w="1424" w:type="dxa"/>
          </w:tcPr>
          <w:p w14:paraId="247A8940" w14:textId="77777777" w:rsidR="00842FF7" w:rsidRDefault="00842FF7" w:rsidP="00AB040D">
            <w:r>
              <w:t>China</w:t>
            </w:r>
          </w:p>
        </w:tc>
        <w:tc>
          <w:tcPr>
            <w:tcW w:w="1428" w:type="dxa"/>
          </w:tcPr>
          <w:p w14:paraId="0BF015B9" w14:textId="77777777" w:rsidR="00842FF7" w:rsidRDefault="00842FF7" w:rsidP="00AB040D">
            <w:r>
              <w:t>Regulation</w:t>
            </w:r>
          </w:p>
        </w:tc>
        <w:tc>
          <w:tcPr>
            <w:tcW w:w="1716" w:type="dxa"/>
          </w:tcPr>
          <w:p w14:paraId="147E19E6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44B44F2A" w14:textId="77777777" w:rsidR="00842FF7" w:rsidRDefault="00842FF7" w:rsidP="00AB040D">
            <w:pPr>
              <w:rPr>
                <w:rFonts w:eastAsia="Times New Roman"/>
              </w:rPr>
            </w:pPr>
            <w:r w:rsidRPr="00AD09BE">
              <w:rPr>
                <w:rFonts w:eastAsia="Times New Roman"/>
              </w:rPr>
              <w:t>“Network security incidents” that are notifiable are defined by reference to seven categories of different incident types</w:t>
            </w:r>
            <w:r>
              <w:rPr>
                <w:rFonts w:eastAsia="Times New Roman"/>
              </w:rPr>
              <w:t>.</w:t>
            </w:r>
          </w:p>
          <w:p w14:paraId="544DEA74" w14:textId="77777777" w:rsidR="00842FF7" w:rsidRDefault="00842FF7" w:rsidP="00AB040D">
            <w:pPr>
              <w:rPr>
                <w:rFonts w:eastAsia="Times New Roman"/>
              </w:rPr>
            </w:pPr>
            <w:hyperlink r:id="rId14" w:history="1">
              <w:r>
                <w:rPr>
                  <w:rStyle w:val="Hyperlink"/>
                </w:rPr>
                <w:t>Breach Notification in China - DLA Piper Global Data Protection Laws of the World (dlapiperdataprotection.com)</w:t>
              </w:r>
            </w:hyperlink>
          </w:p>
        </w:tc>
      </w:tr>
      <w:tr w:rsidR="00842FF7" w14:paraId="2D831C9E" w14:textId="77777777" w:rsidTr="00AB040D">
        <w:trPr>
          <w:cantSplit/>
          <w:trHeight w:val="890"/>
        </w:trPr>
        <w:tc>
          <w:tcPr>
            <w:tcW w:w="1424" w:type="dxa"/>
          </w:tcPr>
          <w:p w14:paraId="408804B7" w14:textId="77777777" w:rsidR="00842FF7" w:rsidRDefault="00842FF7" w:rsidP="00AB040D">
            <w:r>
              <w:lastRenderedPageBreak/>
              <w:t>EU</w:t>
            </w:r>
          </w:p>
        </w:tc>
        <w:tc>
          <w:tcPr>
            <w:tcW w:w="1428" w:type="dxa"/>
          </w:tcPr>
          <w:p w14:paraId="3D29BDC4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0561E784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17FB683B" w14:textId="77777777" w:rsidR="00842FF7" w:rsidRDefault="00842FF7" w:rsidP="00AB040D">
            <w:r>
              <w:t>European regulation relating to cyber security incident reporting in the industrial area is the NIS2 Directive.  It applies to entities recognized as "Essential Services Operators" - generally all energy, water and wastewater, heat, transportation.  The requirement is found in Article 23.  In addition, we must remember that the Directive is a provision that must be implemented into the law of each EU member state. And each of these countries sets more specific rules for reporting incidents.</w:t>
            </w:r>
          </w:p>
          <w:p w14:paraId="22DA5888" w14:textId="77777777" w:rsidR="00842FF7" w:rsidRDefault="00842FF7" w:rsidP="00AB040D">
            <w:r>
              <w:rPr>
                <w:rStyle w:val="cf01"/>
              </w:rPr>
              <w:t xml:space="preserve">Link to NIS2 Directive: </w:t>
            </w:r>
            <w:hyperlink r:id="rId15" w:history="1">
              <w:r>
                <w:rPr>
                  <w:rStyle w:val="cf01"/>
                  <w:color w:val="0000FF"/>
                  <w:u w:val="single"/>
                </w:rPr>
                <w:t>Publications Office (europa.eu)</w:t>
              </w:r>
            </w:hyperlink>
            <w:r>
              <w:rPr>
                <w:rStyle w:val="cf01"/>
              </w:rPr>
              <w:t>.</w:t>
            </w:r>
          </w:p>
        </w:tc>
      </w:tr>
      <w:tr w:rsidR="00842FF7" w14:paraId="58868AC0" w14:textId="77777777" w:rsidTr="00AB040D">
        <w:trPr>
          <w:cantSplit/>
          <w:trHeight w:val="890"/>
        </w:trPr>
        <w:tc>
          <w:tcPr>
            <w:tcW w:w="1424" w:type="dxa"/>
          </w:tcPr>
          <w:p w14:paraId="19EDB09E" w14:textId="77777777" w:rsidR="00842FF7" w:rsidRDefault="00842FF7" w:rsidP="00AB040D">
            <w:r>
              <w:t>India</w:t>
            </w:r>
          </w:p>
        </w:tc>
        <w:tc>
          <w:tcPr>
            <w:tcW w:w="1428" w:type="dxa"/>
          </w:tcPr>
          <w:p w14:paraId="4E9D615C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06ACD699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2FB16CB2" w14:textId="77777777" w:rsidR="00842FF7" w:rsidRDefault="00842FF7" w:rsidP="00AB040D">
            <w:pPr>
              <w:rPr>
                <w:rFonts w:ascii="Segoe UI" w:hAnsi="Segoe UI" w:cs="Segoe UI"/>
                <w:color w:val="232F3E"/>
                <w:shd w:val="clear" w:color="auto" w:fill="FFFFFF"/>
              </w:rPr>
            </w:pPr>
            <w:r>
              <w:rPr>
                <w:rFonts w:ascii="Segoe UI" w:hAnsi="Segoe UI" w:cs="Segoe UI"/>
                <w:color w:val="232F3E"/>
                <w:shd w:val="clear" w:color="auto" w:fill="FFFFFF"/>
              </w:rPr>
              <w:t>India's computer and emergency response team, CERT-In, published new guidelines that require service providers, intermediaries, data centers, and government entities to compulsorily report cybersecurity incidents, including data breaches, within six hours.</w:t>
            </w:r>
          </w:p>
          <w:p w14:paraId="44A3BC95" w14:textId="77777777" w:rsidR="00842FF7" w:rsidRDefault="00842FF7" w:rsidP="00AB040D">
            <w:hyperlink r:id="rId16" w:history="1">
              <w:r>
                <w:rPr>
                  <w:rStyle w:val="Hyperlink"/>
                </w:rPr>
                <w:t>Indian Govt Orders Organizations to Report Security Breaches Within 6 Hours to CERT-In (thehackernews.com)</w:t>
              </w:r>
            </w:hyperlink>
          </w:p>
        </w:tc>
      </w:tr>
      <w:tr w:rsidR="00842FF7" w14:paraId="4B778AA4" w14:textId="77777777" w:rsidTr="00AB040D">
        <w:trPr>
          <w:cantSplit/>
          <w:trHeight w:val="890"/>
        </w:trPr>
        <w:tc>
          <w:tcPr>
            <w:tcW w:w="1424" w:type="dxa"/>
          </w:tcPr>
          <w:p w14:paraId="3C85D3CC" w14:textId="77777777" w:rsidR="00842FF7" w:rsidRDefault="00842FF7" w:rsidP="00AB040D">
            <w:r>
              <w:t>North America</w:t>
            </w:r>
          </w:p>
        </w:tc>
        <w:tc>
          <w:tcPr>
            <w:tcW w:w="1428" w:type="dxa"/>
          </w:tcPr>
          <w:p w14:paraId="751B1019" w14:textId="77777777" w:rsidR="00842FF7" w:rsidRDefault="00842FF7" w:rsidP="00AB040D">
            <w:r>
              <w:t>Regulation</w:t>
            </w:r>
          </w:p>
        </w:tc>
        <w:tc>
          <w:tcPr>
            <w:tcW w:w="1716" w:type="dxa"/>
          </w:tcPr>
          <w:p w14:paraId="2A458ADD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48ED1CD2" w14:textId="77777777" w:rsidR="00842FF7" w:rsidRDefault="00842FF7" w:rsidP="00AB040D">
            <w:r>
              <w:t xml:space="preserve">Electrical: bulk electric system (BES) from NERC </w:t>
            </w:r>
            <w:hyperlink r:id="rId17" w:history="1">
              <w:r w:rsidRPr="00512127">
                <w:rPr>
                  <w:rStyle w:val="Hyperlink"/>
                </w:rPr>
                <w:t>https://www.rapid7.com/globalassets/_pdfs/Rapid7-Incident-Reporting-Regulation-Summary-Chart-080822.pdf</w:t>
              </w:r>
            </w:hyperlink>
            <w:r>
              <w:t xml:space="preserve"> </w:t>
            </w:r>
          </w:p>
        </w:tc>
      </w:tr>
      <w:tr w:rsidR="00842FF7" w14:paraId="044E2918" w14:textId="77777777" w:rsidTr="00AB040D">
        <w:trPr>
          <w:cantSplit/>
          <w:trHeight w:val="890"/>
        </w:trPr>
        <w:tc>
          <w:tcPr>
            <w:tcW w:w="1424" w:type="dxa"/>
          </w:tcPr>
          <w:p w14:paraId="440E9410" w14:textId="77777777" w:rsidR="00842FF7" w:rsidRDefault="00842FF7" w:rsidP="00AB040D">
            <w:r>
              <w:t>NZ</w:t>
            </w:r>
          </w:p>
        </w:tc>
        <w:tc>
          <w:tcPr>
            <w:tcW w:w="1428" w:type="dxa"/>
          </w:tcPr>
          <w:p w14:paraId="7E530585" w14:textId="77777777" w:rsidR="00842FF7" w:rsidRDefault="00842FF7" w:rsidP="00AB040D">
            <w:r>
              <w:t>Information</w:t>
            </w:r>
          </w:p>
        </w:tc>
        <w:tc>
          <w:tcPr>
            <w:tcW w:w="1716" w:type="dxa"/>
          </w:tcPr>
          <w:p w14:paraId="5207CC1B" w14:textId="77777777" w:rsidR="00842FF7" w:rsidRDefault="00842FF7" w:rsidP="00AB040D">
            <w:r>
              <w:t>Voluntary</w:t>
            </w:r>
          </w:p>
        </w:tc>
        <w:tc>
          <w:tcPr>
            <w:tcW w:w="6222" w:type="dxa"/>
          </w:tcPr>
          <w:p w14:paraId="102E0D57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Cyber Security</w:t>
            </w:r>
          </w:p>
          <w:p w14:paraId="51C27ACD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Report an incident and if needed request help</w:t>
            </w:r>
          </w:p>
          <w:p w14:paraId="2CEDED28" w14:textId="77777777" w:rsidR="00842FF7" w:rsidRDefault="00842FF7" w:rsidP="00AB040D">
            <w:hyperlink r:id="rId18" w:history="1">
              <w:r>
                <w:rPr>
                  <w:rStyle w:val="Hyperlink"/>
                </w:rPr>
                <w:t>Report an incident and request support | National Cyber Security Centre (ncsc.govt.nz)</w:t>
              </w:r>
            </w:hyperlink>
          </w:p>
          <w:p w14:paraId="3EAFD379" w14:textId="77777777" w:rsidR="00842FF7" w:rsidRDefault="00842FF7" w:rsidP="00AB040D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A17BE0">
              <w:rPr>
                <w:rFonts w:ascii="Segoe UI" w:hAnsi="Segoe UI" w:cs="Segoe UI"/>
                <w:sz w:val="21"/>
                <w:szCs w:val="21"/>
              </w:rPr>
              <w:t>Phone (04) 498 7654 for immediate support, or if the incident occurs outside business hours.</w:t>
            </w:r>
          </w:p>
          <w:p w14:paraId="7A50AEC8" w14:textId="77777777" w:rsidR="00842FF7" w:rsidRDefault="00842FF7" w:rsidP="00AB040D">
            <w:pPr>
              <w:pStyle w:val="NormalWeb"/>
              <w:spacing w:before="0" w:beforeAutospacing="0" w:after="0" w:afterAutospacing="0"/>
              <w:rPr>
                <w:rFonts w:eastAsia="Times New Roman"/>
              </w:rPr>
            </w:pPr>
            <w:r w:rsidRPr="00A17BE0">
              <w:rPr>
                <w:rFonts w:ascii="Segoe UI" w:hAnsi="Segoe UI" w:cs="Segoe UI"/>
                <w:sz w:val="21"/>
                <w:szCs w:val="21"/>
              </w:rPr>
              <w:t xml:space="preserve">Email </w:t>
            </w:r>
            <w:hyperlink r:id="rId19" w:history="1">
              <w:r w:rsidRPr="00F54640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incidents@ncsc.govt.nz</w:t>
              </w:r>
            </w:hyperlink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A17BE0">
              <w:rPr>
                <w:rFonts w:ascii="Segoe UI" w:hAnsi="Segoe UI" w:cs="Segoe UI"/>
                <w:sz w:val="21"/>
                <w:szCs w:val="21"/>
              </w:rPr>
              <w:t>for non-urgent incidents</w:t>
            </w:r>
          </w:p>
        </w:tc>
      </w:tr>
      <w:tr w:rsidR="00842FF7" w14:paraId="614266AE" w14:textId="77777777" w:rsidTr="00AB040D">
        <w:trPr>
          <w:cantSplit/>
          <w:trHeight w:val="890"/>
        </w:trPr>
        <w:tc>
          <w:tcPr>
            <w:tcW w:w="1424" w:type="dxa"/>
          </w:tcPr>
          <w:p w14:paraId="458B29B4" w14:textId="77777777" w:rsidR="00842FF7" w:rsidRDefault="00842FF7" w:rsidP="00AB040D">
            <w:r>
              <w:t>Singapore</w:t>
            </w:r>
          </w:p>
        </w:tc>
        <w:tc>
          <w:tcPr>
            <w:tcW w:w="1428" w:type="dxa"/>
          </w:tcPr>
          <w:p w14:paraId="06CBA9C6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4E3CBA11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0ABAED4E" w14:textId="77777777" w:rsidR="00842FF7" w:rsidRPr="00003652" w:rsidRDefault="00842FF7" w:rsidP="00AB04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03652">
              <w:rPr>
                <w:rFonts w:eastAsia="Times New Roman"/>
                <w:color w:val="000000"/>
                <w:sz w:val="24"/>
                <w:szCs w:val="24"/>
              </w:rPr>
              <w:t>Singapore Cybersecurity Bill 2018 (</w:t>
            </w:r>
            <w:hyperlink r:id="rId20" w:history="1">
              <w:r w:rsidRPr="00003652">
                <w:rPr>
                  <w:rStyle w:val="Hyperlink"/>
                  <w:rFonts w:eastAsia="Times New Roman"/>
                  <w:sz w:val="24"/>
                  <w:szCs w:val="24"/>
                </w:rPr>
                <w:t>https://sso.agc.gov.sg/Acts-Supp/9-2018/</w:t>
              </w:r>
            </w:hyperlink>
            <w:r w:rsidRPr="00003652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14:paraId="402E759E" w14:textId="77777777" w:rsidR="00842FF7" w:rsidRDefault="00842FF7" w:rsidP="00AB040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16315A6" w14:textId="77777777" w:rsidR="00842FF7" w:rsidRPr="00003652" w:rsidRDefault="00842FF7" w:rsidP="00AB04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03652">
              <w:rPr>
                <w:rFonts w:eastAsia="Times New Roman"/>
                <w:color w:val="000000"/>
                <w:sz w:val="24"/>
                <w:szCs w:val="24"/>
              </w:rPr>
              <w:t>Cybersecurity Code of Practice (</w:t>
            </w:r>
            <w:hyperlink r:id="rId21" w:history="1">
              <w:r w:rsidRPr="00003652">
                <w:rPr>
                  <w:rStyle w:val="Hyperlink"/>
                  <w:rFonts w:eastAsia="Times New Roman"/>
                  <w:sz w:val="24"/>
                  <w:szCs w:val="24"/>
                </w:rPr>
                <w:t>https://www.csa.gov.sg/legislation/Codes-of-Practice</w:t>
              </w:r>
            </w:hyperlink>
            <w:r w:rsidRPr="00003652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842FF7" w14:paraId="76137683" w14:textId="77777777" w:rsidTr="00AB040D">
        <w:trPr>
          <w:cantSplit/>
          <w:trHeight w:val="890"/>
        </w:trPr>
        <w:tc>
          <w:tcPr>
            <w:tcW w:w="1424" w:type="dxa"/>
          </w:tcPr>
          <w:p w14:paraId="4B6A1832" w14:textId="77777777" w:rsidR="00842FF7" w:rsidRDefault="00842FF7" w:rsidP="00AB040D">
            <w:r>
              <w:lastRenderedPageBreak/>
              <w:t>USA</w:t>
            </w:r>
          </w:p>
        </w:tc>
        <w:tc>
          <w:tcPr>
            <w:tcW w:w="1428" w:type="dxa"/>
          </w:tcPr>
          <w:p w14:paraId="402F2116" w14:textId="77777777" w:rsidR="00842FF7" w:rsidRDefault="00842FF7" w:rsidP="00AB040D">
            <w:r>
              <w:t>Rule</w:t>
            </w:r>
          </w:p>
        </w:tc>
        <w:tc>
          <w:tcPr>
            <w:tcW w:w="1716" w:type="dxa"/>
          </w:tcPr>
          <w:p w14:paraId="6B152A8C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260E29BB" w14:textId="77777777" w:rsidR="00842FF7" w:rsidRDefault="00842FF7" w:rsidP="00AB040D">
            <w:r>
              <w:t>N</w:t>
            </w:r>
            <w:r w:rsidRPr="004C3EFF">
              <w:t>ew rule require</w:t>
            </w:r>
            <w:r>
              <w:t>s</w:t>
            </w:r>
            <w:r w:rsidRPr="004C3EFF">
              <w:t xml:space="preserve"> publicly traded companies to publicize details of a cyber attack within four days of identifying that it has a "material" impact on their finances, marking a major shift in how computer breaches are disclosed.</w:t>
            </w:r>
            <w:r>
              <w:t xml:space="preserve">  This </w:t>
            </w:r>
            <w:r w:rsidRPr="00221851">
              <w:t>mandate</w:t>
            </w:r>
            <w:r>
              <w:t>s</w:t>
            </w:r>
            <w:r w:rsidRPr="00221851">
              <w:t xml:space="preserve"> that companies reveal the incident's nature, scope, and timing, as well as its impact.</w:t>
            </w:r>
          </w:p>
          <w:p w14:paraId="0863C1EE" w14:textId="77777777" w:rsidR="00842FF7" w:rsidRDefault="00842FF7" w:rsidP="00AB040D">
            <w:hyperlink r:id="rId22" w:history="1">
              <w:r>
                <w:rPr>
                  <w:rStyle w:val="Hyperlink"/>
                </w:rPr>
                <w:t>New SEC Rules Require U.S. Companies to Reveal Cyber Attacks Within 4 Days (thehackernews.com)</w:t>
              </w:r>
            </w:hyperlink>
          </w:p>
        </w:tc>
      </w:tr>
      <w:tr w:rsidR="00842FF7" w14:paraId="58630E2E" w14:textId="77777777" w:rsidTr="00AB040D">
        <w:trPr>
          <w:cantSplit/>
          <w:trHeight w:val="890"/>
        </w:trPr>
        <w:tc>
          <w:tcPr>
            <w:tcW w:w="1424" w:type="dxa"/>
          </w:tcPr>
          <w:p w14:paraId="63B6827D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6BB8DBD6" w14:textId="77777777" w:rsidR="00842FF7" w:rsidRDefault="00842FF7" w:rsidP="00AB040D">
            <w:r>
              <w:t>Regulation</w:t>
            </w:r>
          </w:p>
        </w:tc>
        <w:tc>
          <w:tcPr>
            <w:tcW w:w="1716" w:type="dxa"/>
          </w:tcPr>
          <w:p w14:paraId="2DD68632" w14:textId="77777777" w:rsidR="00842FF7" w:rsidRDefault="00842FF7" w:rsidP="00AB040D">
            <w:r>
              <w:t>To-be-determined</w:t>
            </w:r>
          </w:p>
        </w:tc>
        <w:tc>
          <w:tcPr>
            <w:tcW w:w="6222" w:type="dxa"/>
          </w:tcPr>
          <w:p w14:paraId="19E703E8" w14:textId="77777777" w:rsidR="00842FF7" w:rsidRDefault="00842FF7" w:rsidP="00AB040D">
            <w:r>
              <w:t xml:space="preserve">Covered entities” is still being defined by CISA.  </w:t>
            </w:r>
            <w:r>
              <w:rPr>
                <w:rStyle w:val="grame"/>
              </w:rPr>
              <w:t>Generally,</w:t>
            </w:r>
            <w:r>
              <w:t xml:space="preserve"> this includes those within a critical infrastructure sector, as defined in Presidential Policy Directive 21 (“PPD-21”).</w:t>
            </w:r>
          </w:p>
          <w:p w14:paraId="4E8DA9A8" w14:textId="77777777" w:rsidR="00842FF7" w:rsidRDefault="00842FF7" w:rsidP="00AB040D">
            <w:hyperlink r:id="rId23" w:anchor=":~:text=First%2C%20a%20covered%20entity%20experiencing%20a%20covered%20cyber,report%20the%20payment%20to%20CISA%20within%2024%20hours." w:history="1">
              <w:r>
                <w:rPr>
                  <w:rStyle w:val="Hyperlink"/>
                </w:rPr>
                <w:t>Congress Imposes New 72-Hour Reporting Requirement for Cyber Security Incidents – Freeman Mathis &amp; Gary (fmglaw.com)</w:t>
              </w:r>
            </w:hyperlink>
          </w:p>
          <w:p w14:paraId="2BB26BB9" w14:textId="77777777" w:rsidR="00842FF7" w:rsidRDefault="00842FF7" w:rsidP="00AB040D">
            <w:pPr>
              <w:rPr>
                <w:rStyle w:val="Hyperlink"/>
              </w:rPr>
            </w:pPr>
            <w:hyperlink r:id="rId24" w:history="1">
              <w:r>
                <w:rPr>
                  <w:rStyle w:val="Hyperlink"/>
                </w:rPr>
                <w:t>Cyber Incident Reporting for Critical Infrastructure Act of 2022 (CIRCIA) | CISA</w:t>
              </w:r>
            </w:hyperlink>
          </w:p>
          <w:p w14:paraId="76DB5BF0" w14:textId="77777777" w:rsidR="00842FF7" w:rsidRDefault="00842FF7" w:rsidP="00AB040D">
            <w:r>
              <w:rPr>
                <w:rFonts w:eastAsia="Times New Roman"/>
              </w:rPr>
              <w:t xml:space="preserve">(items 1) </w:t>
            </w:r>
            <w:hyperlink r:id="rId25" w:anchor=":~:text=Gramm%2DLeach%2DBliley%20Act%20(,misuse%20of%20the%20customer's%20information." w:history="1">
              <w:r>
                <w:rPr>
                  <w:rStyle w:val="Hyperlink"/>
                </w:rPr>
                <w:t>Cyber Incident Reporting Requirements &amp; Notification Timelines for Financial Institutions - Bank Policy Institute (bpi.com)</w:t>
              </w:r>
            </w:hyperlink>
          </w:p>
        </w:tc>
      </w:tr>
      <w:tr w:rsidR="00842FF7" w14:paraId="65BD3E81" w14:textId="77777777" w:rsidTr="00AB040D">
        <w:trPr>
          <w:cantSplit/>
          <w:trHeight w:val="890"/>
        </w:trPr>
        <w:tc>
          <w:tcPr>
            <w:tcW w:w="1424" w:type="dxa"/>
          </w:tcPr>
          <w:p w14:paraId="6B23EE9F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5C8649E3" w14:textId="77777777" w:rsidR="00842FF7" w:rsidRDefault="00842FF7" w:rsidP="00AB040D">
            <w:r>
              <w:t>Guidance</w:t>
            </w:r>
          </w:p>
        </w:tc>
        <w:tc>
          <w:tcPr>
            <w:tcW w:w="1716" w:type="dxa"/>
          </w:tcPr>
          <w:p w14:paraId="26CD7AAF" w14:textId="77777777" w:rsidR="00842FF7" w:rsidRDefault="00842FF7" w:rsidP="00AB040D">
            <w:r>
              <w:t>Information</w:t>
            </w:r>
          </w:p>
        </w:tc>
        <w:tc>
          <w:tcPr>
            <w:tcW w:w="6222" w:type="dxa"/>
          </w:tcPr>
          <w:p w14:paraId="33E850A9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Cyber Security</w:t>
            </w:r>
          </w:p>
          <w:p w14:paraId="726B2900" w14:textId="77777777" w:rsidR="00842FF7" w:rsidRDefault="00842FF7" w:rsidP="00AB040D">
            <w:hyperlink r:id="rId26" w:history="1">
              <w:r>
                <w:rPr>
                  <w:rStyle w:val="Hyperlink"/>
                </w:rPr>
                <w:t>US-CERT Federal Incident Notification Guidelines (cisa.gov)</w:t>
              </w:r>
            </w:hyperlink>
          </w:p>
          <w:p w14:paraId="1410DB64" w14:textId="77777777" w:rsidR="00842FF7" w:rsidRPr="00754D9D" w:rsidRDefault="00842FF7" w:rsidP="00AB040D">
            <w:pPr>
              <w:rPr>
                <w:rFonts w:eastAsia="Times New Roman"/>
              </w:rPr>
            </w:pPr>
            <w:hyperlink r:id="rId27" w:history="1">
              <w:r>
                <w:rPr>
                  <w:rStyle w:val="Hyperlink"/>
                </w:rPr>
                <w:t>Report to CISA | CISA</w:t>
              </w:r>
            </w:hyperlink>
          </w:p>
        </w:tc>
      </w:tr>
      <w:tr w:rsidR="00842FF7" w14:paraId="3B0889BF" w14:textId="77777777" w:rsidTr="00AB040D">
        <w:trPr>
          <w:cantSplit/>
          <w:trHeight w:val="890"/>
        </w:trPr>
        <w:tc>
          <w:tcPr>
            <w:tcW w:w="1424" w:type="dxa"/>
          </w:tcPr>
          <w:p w14:paraId="2813B707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17614B0E" w14:textId="77777777" w:rsidR="00842FF7" w:rsidRDefault="00842FF7" w:rsidP="00AB040D">
            <w:r>
              <w:t>Executive Order</w:t>
            </w:r>
          </w:p>
        </w:tc>
        <w:tc>
          <w:tcPr>
            <w:tcW w:w="1716" w:type="dxa"/>
          </w:tcPr>
          <w:p w14:paraId="0A8924D1" w14:textId="77777777" w:rsidR="00842FF7" w:rsidRDefault="00842FF7" w:rsidP="00AB040D">
            <w:r>
              <w:t>Information</w:t>
            </w:r>
          </w:p>
        </w:tc>
        <w:tc>
          <w:tcPr>
            <w:tcW w:w="6222" w:type="dxa"/>
          </w:tcPr>
          <w:p w14:paraId="4A561967" w14:textId="77777777" w:rsidR="00842FF7" w:rsidRDefault="00842FF7" w:rsidP="00AB040D">
            <w:r>
              <w:t>Cyber Security</w:t>
            </w:r>
          </w:p>
          <w:p w14:paraId="64195617" w14:textId="77777777" w:rsidR="00842FF7" w:rsidRDefault="00842FF7" w:rsidP="00AB040D">
            <w:hyperlink r:id="rId28" w:history="1">
              <w:r>
                <w:rPr>
                  <w:rStyle w:val="Hyperlink"/>
                </w:rPr>
                <w:t>Executive Order on Improving the Nation's Cybersecurity | The White House</w:t>
              </w:r>
            </w:hyperlink>
          </w:p>
        </w:tc>
      </w:tr>
      <w:tr w:rsidR="00842FF7" w14:paraId="33838460" w14:textId="77777777" w:rsidTr="00AB040D">
        <w:trPr>
          <w:cantSplit/>
          <w:trHeight w:val="800"/>
        </w:trPr>
        <w:tc>
          <w:tcPr>
            <w:tcW w:w="1424" w:type="dxa"/>
          </w:tcPr>
          <w:p w14:paraId="5199329C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7D377CC9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54BB1D5C" w14:textId="77777777" w:rsidR="00842FF7" w:rsidRDefault="00842FF7" w:rsidP="00AB040D">
            <w:r>
              <w:t>Definitions</w:t>
            </w:r>
          </w:p>
        </w:tc>
        <w:tc>
          <w:tcPr>
            <w:tcW w:w="6222" w:type="dxa"/>
          </w:tcPr>
          <w:p w14:paraId="29623375" w14:textId="77777777" w:rsidR="00842FF7" w:rsidRDefault="00842FF7" w:rsidP="00AB040D">
            <w:r>
              <w:t>Cyber Security</w:t>
            </w:r>
          </w:p>
          <w:p w14:paraId="375CCB99" w14:textId="77777777" w:rsidR="00842FF7" w:rsidRDefault="00842FF7" w:rsidP="00AB040D">
            <w:r>
              <w:t>HOMELAND SECURITY ACT OF 2002 with amendment in 2022</w:t>
            </w:r>
          </w:p>
          <w:p w14:paraId="7DFB79FB" w14:textId="77777777" w:rsidR="00842FF7" w:rsidRDefault="00842FF7" w:rsidP="00AB040D">
            <w:hyperlink r:id="rId29" w:history="1">
              <w:r>
                <w:rPr>
                  <w:rStyle w:val="Hyperlink"/>
                </w:rPr>
                <w:t>COMPS-1143.pdf (govinfo.gov)</w:t>
              </w:r>
            </w:hyperlink>
          </w:p>
        </w:tc>
      </w:tr>
      <w:tr w:rsidR="00842FF7" w14:paraId="65F46C0E" w14:textId="77777777" w:rsidTr="00AB040D">
        <w:trPr>
          <w:cantSplit/>
          <w:trHeight w:val="890"/>
        </w:trPr>
        <w:tc>
          <w:tcPr>
            <w:tcW w:w="1424" w:type="dxa"/>
          </w:tcPr>
          <w:p w14:paraId="577A29D2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04A33A0E" w14:textId="77777777" w:rsidR="00842FF7" w:rsidRDefault="00842FF7" w:rsidP="00AB040D">
            <w:r>
              <w:t>Guidance</w:t>
            </w:r>
          </w:p>
        </w:tc>
        <w:tc>
          <w:tcPr>
            <w:tcW w:w="1716" w:type="dxa"/>
          </w:tcPr>
          <w:p w14:paraId="04F6D99F" w14:textId="77777777" w:rsidR="00842FF7" w:rsidRDefault="00842FF7" w:rsidP="00AB040D">
            <w:r>
              <w:t>Information</w:t>
            </w:r>
          </w:p>
        </w:tc>
        <w:tc>
          <w:tcPr>
            <w:tcW w:w="6222" w:type="dxa"/>
          </w:tcPr>
          <w:p w14:paraId="0D075486" w14:textId="77777777" w:rsidR="00842FF7" w:rsidRDefault="00842FF7" w:rsidP="00AB040D">
            <w:r>
              <w:t>Cyber Security</w:t>
            </w:r>
          </w:p>
          <w:p w14:paraId="6D424F26" w14:textId="77777777" w:rsidR="00842FF7" w:rsidRDefault="00842FF7" w:rsidP="00AB040D">
            <w:r>
              <w:t>Incident reporting and obtaining assistance from the USA government</w:t>
            </w:r>
          </w:p>
          <w:p w14:paraId="23E36708" w14:textId="77777777" w:rsidR="00842FF7" w:rsidRDefault="00842FF7" w:rsidP="00AB040D">
            <w:hyperlink r:id="rId30" w:history="1">
              <w:r>
                <w:rPr>
                  <w:rStyle w:val="Hyperlink"/>
                </w:rPr>
                <w:t>Cyber Incident Reporting United Message.pdf (dhs.gov)</w:t>
              </w:r>
            </w:hyperlink>
          </w:p>
        </w:tc>
      </w:tr>
      <w:tr w:rsidR="00842FF7" w14:paraId="2EE02215" w14:textId="77777777" w:rsidTr="00AB040D">
        <w:trPr>
          <w:cantSplit/>
          <w:trHeight w:val="890"/>
        </w:trPr>
        <w:tc>
          <w:tcPr>
            <w:tcW w:w="1424" w:type="dxa"/>
          </w:tcPr>
          <w:p w14:paraId="6CE2403B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3EC70DE5" w14:textId="77777777" w:rsidR="00842FF7" w:rsidRDefault="00842FF7" w:rsidP="00AB040D">
            <w:r>
              <w:t>Advocacy</w:t>
            </w:r>
          </w:p>
        </w:tc>
        <w:tc>
          <w:tcPr>
            <w:tcW w:w="1716" w:type="dxa"/>
          </w:tcPr>
          <w:p w14:paraId="756CEAC5" w14:textId="77777777" w:rsidR="00842FF7" w:rsidRDefault="00842FF7" w:rsidP="00AB040D">
            <w:r>
              <w:t>Information</w:t>
            </w:r>
          </w:p>
        </w:tc>
        <w:tc>
          <w:tcPr>
            <w:tcW w:w="6222" w:type="dxa"/>
          </w:tcPr>
          <w:p w14:paraId="6E778CF0" w14:textId="77777777" w:rsidR="00842FF7" w:rsidRDefault="00842FF7" w:rsidP="00AB040D">
            <w:r>
              <w:t>Cyber Security</w:t>
            </w:r>
          </w:p>
          <w:p w14:paraId="7B66B950" w14:textId="77777777" w:rsidR="00842FF7" w:rsidRDefault="00842FF7" w:rsidP="00AB040D">
            <w:pPr>
              <w:rPr>
                <w:rFonts w:eastAsia="Times New Roman"/>
              </w:rPr>
            </w:pPr>
            <w:hyperlink r:id="rId31" w:anchor=":~:text=Among%20its%20recommendations%2C%20ITI%20suggests%20policymakers%3A%20Develop%20and,responsibility%20for%20reporting%20only%20to%20the%20compromised%20entity%3B" w:history="1">
              <w:r>
                <w:rPr>
                  <w:rStyle w:val="Hyperlink"/>
                </w:rPr>
                <w:t>ITI Issues First-of-their-Kind Principles for Cyber Incident Reporting - Information Technology Industry Council (itic.org)</w:t>
              </w:r>
            </w:hyperlink>
          </w:p>
        </w:tc>
      </w:tr>
      <w:tr w:rsidR="00842FF7" w14:paraId="130DBC53" w14:textId="77777777" w:rsidTr="00AB040D">
        <w:trPr>
          <w:cantSplit/>
          <w:trHeight w:val="890"/>
        </w:trPr>
        <w:tc>
          <w:tcPr>
            <w:tcW w:w="1424" w:type="dxa"/>
          </w:tcPr>
          <w:p w14:paraId="67884862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724DBFC0" w14:textId="77777777" w:rsidR="00842FF7" w:rsidRDefault="00842FF7" w:rsidP="00AB040D">
            <w:r>
              <w:t>Executive Directive</w:t>
            </w:r>
          </w:p>
        </w:tc>
        <w:tc>
          <w:tcPr>
            <w:tcW w:w="1716" w:type="dxa"/>
          </w:tcPr>
          <w:p w14:paraId="2BC21506" w14:textId="77777777" w:rsidR="00842FF7" w:rsidRDefault="00842FF7" w:rsidP="00AB040D">
            <w:r>
              <w:t>Information</w:t>
            </w:r>
          </w:p>
        </w:tc>
        <w:tc>
          <w:tcPr>
            <w:tcW w:w="6222" w:type="dxa"/>
          </w:tcPr>
          <w:p w14:paraId="4FAD4CCA" w14:textId="77777777" w:rsidR="00842FF7" w:rsidRDefault="00842FF7" w:rsidP="00AB040D">
            <w:r>
              <w:t>Cyber Security</w:t>
            </w:r>
          </w:p>
          <w:p w14:paraId="4667B168" w14:textId="77777777" w:rsidR="00842FF7" w:rsidRDefault="00842FF7" w:rsidP="00AB040D">
            <w:pPr>
              <w:rPr>
                <w:rFonts w:eastAsia="Times New Roman"/>
              </w:rPr>
            </w:pPr>
            <w:hyperlink r:id="rId32" w:history="1">
              <w:r>
                <w:rPr>
                  <w:rStyle w:val="Hyperlink"/>
                </w:rPr>
                <w:t>Presidential Policy Directive -- United States Cyber Incident Coordination | whitehouse.gov (archives.gov)</w:t>
              </w:r>
            </w:hyperlink>
          </w:p>
        </w:tc>
      </w:tr>
      <w:tr w:rsidR="00842FF7" w14:paraId="77B3A327" w14:textId="77777777" w:rsidTr="00AB040D">
        <w:trPr>
          <w:cantSplit/>
        </w:trPr>
        <w:tc>
          <w:tcPr>
            <w:tcW w:w="1424" w:type="dxa"/>
          </w:tcPr>
          <w:p w14:paraId="10FE71F4" w14:textId="77777777" w:rsidR="00842FF7" w:rsidRDefault="00842FF7" w:rsidP="00AB040D">
            <w:r>
              <w:lastRenderedPageBreak/>
              <w:t>USA</w:t>
            </w:r>
          </w:p>
        </w:tc>
        <w:tc>
          <w:tcPr>
            <w:tcW w:w="1428" w:type="dxa"/>
          </w:tcPr>
          <w:p w14:paraId="0C666128" w14:textId="77777777" w:rsidR="00842FF7" w:rsidRDefault="00842FF7" w:rsidP="00AB040D">
            <w:r>
              <w:t>Reporting</w:t>
            </w:r>
          </w:p>
        </w:tc>
        <w:tc>
          <w:tcPr>
            <w:tcW w:w="1716" w:type="dxa"/>
          </w:tcPr>
          <w:p w14:paraId="4EA9E1E5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664BE807" w14:textId="77777777" w:rsidR="00842FF7" w:rsidRPr="00B621E9" w:rsidRDefault="00842FF7" w:rsidP="00AB040D">
            <w:r w:rsidRPr="00B621E9">
              <w:t>Electric utilities that operate as Control Area Operators and/or Reliability Authorities as well as other electric utilities, as appropriate, are required to file the form</w:t>
            </w:r>
          </w:p>
          <w:p w14:paraId="09114C95" w14:textId="77777777" w:rsidR="00842FF7" w:rsidRDefault="00842FF7" w:rsidP="00AB040D">
            <w:hyperlink r:id="rId33" w:history="1">
              <w:r>
                <w:rPr>
                  <w:rStyle w:val="Hyperlink"/>
                </w:rPr>
                <w:t>ISER - Electric Disturbance Events (DOE-417)</w:t>
              </w:r>
            </w:hyperlink>
          </w:p>
        </w:tc>
      </w:tr>
      <w:tr w:rsidR="00842FF7" w14:paraId="4EE3453C" w14:textId="77777777" w:rsidTr="00AB040D">
        <w:trPr>
          <w:cantSplit/>
          <w:trHeight w:val="890"/>
        </w:trPr>
        <w:tc>
          <w:tcPr>
            <w:tcW w:w="1424" w:type="dxa"/>
          </w:tcPr>
          <w:p w14:paraId="418703C2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73A7F53A" w14:textId="77777777" w:rsidR="00842FF7" w:rsidRDefault="00842FF7" w:rsidP="00AB040D">
            <w:r>
              <w:t>Regulation</w:t>
            </w:r>
          </w:p>
        </w:tc>
        <w:tc>
          <w:tcPr>
            <w:tcW w:w="1716" w:type="dxa"/>
          </w:tcPr>
          <w:p w14:paraId="0D77A46A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41EB312D" w14:textId="77777777" w:rsidR="00842FF7" w:rsidRDefault="00842FF7" w:rsidP="00AB040D">
            <w:r>
              <w:t>Pipeline</w:t>
            </w:r>
          </w:p>
          <w:p w14:paraId="76CA6DCD" w14:textId="77777777" w:rsidR="00842FF7" w:rsidRDefault="00842FF7" w:rsidP="00AB040D">
            <w:hyperlink r:id="rId34" w:history="1">
              <w:r w:rsidRPr="00512127">
                <w:rPr>
                  <w:rStyle w:val="Hyperlink"/>
                </w:rPr>
                <w:t>https://www.rapid7.com/globalassets/_pdfs/Rapid7-Incident-Reporting-Regulation-Summary-Chart-080822.pdf</w:t>
              </w:r>
            </w:hyperlink>
            <w:r>
              <w:t xml:space="preserve"> </w:t>
            </w:r>
          </w:p>
        </w:tc>
      </w:tr>
      <w:tr w:rsidR="00842FF7" w14:paraId="56353B7B" w14:textId="77777777" w:rsidTr="00AB040D">
        <w:trPr>
          <w:cantSplit/>
          <w:trHeight w:val="602"/>
        </w:trPr>
        <w:tc>
          <w:tcPr>
            <w:tcW w:w="1424" w:type="dxa"/>
          </w:tcPr>
          <w:p w14:paraId="7FE4010F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69099CB9" w14:textId="77777777" w:rsidR="00842FF7" w:rsidRDefault="00842FF7" w:rsidP="00AB040D">
            <w:r>
              <w:t>Regulation</w:t>
            </w:r>
          </w:p>
        </w:tc>
        <w:tc>
          <w:tcPr>
            <w:tcW w:w="1716" w:type="dxa"/>
          </w:tcPr>
          <w:p w14:paraId="30CE6436" w14:textId="77777777" w:rsidR="00842FF7" w:rsidRDefault="00842FF7" w:rsidP="00AB040D">
            <w:r>
              <w:t>Proposed</w:t>
            </w:r>
          </w:p>
        </w:tc>
        <w:tc>
          <w:tcPr>
            <w:tcW w:w="6222" w:type="dxa"/>
          </w:tcPr>
          <w:p w14:paraId="78E740E2" w14:textId="77777777" w:rsidR="00842FF7" w:rsidRDefault="00842FF7" w:rsidP="00AB040D">
            <w:r>
              <w:t>Pipeline</w:t>
            </w:r>
          </w:p>
          <w:p w14:paraId="5AB11310" w14:textId="77777777" w:rsidR="00842FF7" w:rsidRDefault="00842FF7" w:rsidP="00AB040D">
            <w:hyperlink r:id="rId35" w:history="1">
              <w:r>
                <w:rPr>
                  <w:rStyle w:val="Hyperlink"/>
                </w:rPr>
                <w:t>sd_pipeline-2021-01b_05-29-2022.pdf (tsa.gov)</w:t>
              </w:r>
            </w:hyperlink>
          </w:p>
        </w:tc>
      </w:tr>
      <w:tr w:rsidR="00842FF7" w14:paraId="17B7297F" w14:textId="77777777" w:rsidTr="00AB040D">
        <w:trPr>
          <w:cantSplit/>
        </w:trPr>
        <w:tc>
          <w:tcPr>
            <w:tcW w:w="1424" w:type="dxa"/>
          </w:tcPr>
          <w:p w14:paraId="5337C263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1D292E9A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4FED8D3B" w14:textId="77777777" w:rsidR="00842FF7" w:rsidRDefault="00842FF7" w:rsidP="00AB040D">
            <w:r>
              <w:t>Recommended</w:t>
            </w:r>
          </w:p>
        </w:tc>
        <w:tc>
          <w:tcPr>
            <w:tcW w:w="6222" w:type="dxa"/>
          </w:tcPr>
          <w:p w14:paraId="674FEE9E" w14:textId="77777777" w:rsidR="00842FF7" w:rsidRDefault="00842FF7" w:rsidP="00AB040D">
            <w:r>
              <w:t>Ransomware reporting including observed activities:</w:t>
            </w:r>
          </w:p>
          <w:p w14:paraId="0082099B" w14:textId="77777777" w:rsidR="00842FF7" w:rsidRDefault="00842FF7" w:rsidP="00AB040D">
            <w:hyperlink r:id="rId36" w:history="1">
              <w:r>
                <w:rPr>
                  <w:rStyle w:val="Hyperlink"/>
                </w:rPr>
                <w:t>Getting Ahead of the Ransomware Epidemic: CISA’s Pre-Ransomware Notifications Help Organizations Stop Attacks Before Damage Occurs | CISA</w:t>
              </w:r>
            </w:hyperlink>
          </w:p>
        </w:tc>
      </w:tr>
      <w:tr w:rsidR="00842FF7" w14:paraId="7B2D2640" w14:textId="77777777" w:rsidTr="00AB040D">
        <w:trPr>
          <w:cantSplit/>
          <w:trHeight w:val="890"/>
        </w:trPr>
        <w:tc>
          <w:tcPr>
            <w:tcW w:w="1424" w:type="dxa"/>
          </w:tcPr>
          <w:p w14:paraId="68BFAABA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1C0592C1" w14:textId="77777777" w:rsidR="00842FF7" w:rsidRDefault="00842FF7" w:rsidP="00AB040D">
            <w:r>
              <w:t>Search Tool</w:t>
            </w:r>
          </w:p>
        </w:tc>
        <w:tc>
          <w:tcPr>
            <w:tcW w:w="1716" w:type="dxa"/>
          </w:tcPr>
          <w:p w14:paraId="1CDBA492" w14:textId="77777777" w:rsidR="00842FF7" w:rsidRDefault="00842FF7" w:rsidP="00AB040D">
            <w:r>
              <w:t>Information</w:t>
            </w:r>
          </w:p>
        </w:tc>
        <w:tc>
          <w:tcPr>
            <w:tcW w:w="6222" w:type="dxa"/>
          </w:tcPr>
          <w:p w14:paraId="31454032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Various regulations</w:t>
            </w:r>
          </w:p>
          <w:p w14:paraId="48BC78C2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Search for proposed and new regulations:</w:t>
            </w:r>
          </w:p>
          <w:p w14:paraId="017185F8" w14:textId="77777777" w:rsidR="00842FF7" w:rsidRPr="008E32D2" w:rsidRDefault="00842FF7" w:rsidP="00AB040D">
            <w:pPr>
              <w:rPr>
                <w:rFonts w:eastAsia="Times New Roman"/>
              </w:rPr>
            </w:pPr>
            <w:hyperlink r:id="rId37" w:history="1">
              <w:r>
                <w:rPr>
                  <w:rStyle w:val="Hyperlink"/>
                </w:rPr>
                <w:t>Regulations.gov</w:t>
              </w:r>
            </w:hyperlink>
          </w:p>
        </w:tc>
      </w:tr>
      <w:tr w:rsidR="00842FF7" w14:paraId="687CD6FB" w14:textId="77777777" w:rsidTr="00AB040D">
        <w:trPr>
          <w:cantSplit/>
          <w:trHeight w:val="890"/>
        </w:trPr>
        <w:tc>
          <w:tcPr>
            <w:tcW w:w="1424" w:type="dxa"/>
          </w:tcPr>
          <w:p w14:paraId="0E215712" w14:textId="77777777" w:rsidR="00842FF7" w:rsidRDefault="00842FF7" w:rsidP="00AB040D">
            <w:r>
              <w:t>USA/Canada</w:t>
            </w:r>
          </w:p>
        </w:tc>
        <w:tc>
          <w:tcPr>
            <w:tcW w:w="1428" w:type="dxa"/>
          </w:tcPr>
          <w:p w14:paraId="30160942" w14:textId="77777777" w:rsidR="00842FF7" w:rsidRDefault="00842FF7" w:rsidP="00AB040D">
            <w:r>
              <w:t>Regulations</w:t>
            </w:r>
          </w:p>
        </w:tc>
        <w:tc>
          <w:tcPr>
            <w:tcW w:w="1716" w:type="dxa"/>
          </w:tcPr>
          <w:p w14:paraId="586DF9E6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0E18CCFE" w14:textId="77777777" w:rsidR="00842FF7" w:rsidRDefault="00842FF7" w:rsidP="00AB040D">
            <w:pPr>
              <w:rPr>
                <w:rFonts w:eastAsia="Times New Roman"/>
              </w:rPr>
            </w:pPr>
            <w:r w:rsidRPr="004F6D8A">
              <w:rPr>
                <w:color w:val="FF0000"/>
              </w:rPr>
              <w:t>NERC requirements for reporting to E-ISAC</w:t>
            </w:r>
          </w:p>
        </w:tc>
      </w:tr>
    </w:tbl>
    <w:p w14:paraId="1850498E" w14:textId="77777777" w:rsidR="00842FF7" w:rsidRDefault="00842FF7" w:rsidP="00842FF7">
      <w:pPr>
        <w:spacing w:after="0"/>
      </w:pPr>
    </w:p>
    <w:p w14:paraId="5B22956A" w14:textId="77777777" w:rsidR="00842FF7" w:rsidRDefault="00842FF7" w:rsidP="00842FF7"/>
    <w:p w14:paraId="58CAF2A0" w14:textId="77777777" w:rsidR="00842FF7" w:rsidRDefault="00842FF7" w:rsidP="00842FF7">
      <w:r>
        <w:br w:type="page"/>
      </w:r>
    </w:p>
    <w:p w14:paraId="7CCACC46" w14:textId="77777777" w:rsidR="00842FF7" w:rsidRDefault="00842FF7" w:rsidP="00842FF7">
      <w:pPr>
        <w:pStyle w:val="Heading2"/>
      </w:pPr>
      <w:r>
        <w:lastRenderedPageBreak/>
        <w:t>Privacy</w:t>
      </w:r>
    </w:p>
    <w:p w14:paraId="0B0B85B4" w14:textId="77777777" w:rsidR="00842FF7" w:rsidRDefault="00842FF7" w:rsidP="00842FF7">
      <w:pPr>
        <w:spacing w:after="0"/>
      </w:pPr>
      <w:r>
        <w:t>Instructions:  Review this table to identify privacy laws and regulations that are applicable to the countries and industries for your company.   Include those that apply in the “Decision Factors (Table)”</w:t>
      </w:r>
    </w:p>
    <w:p w14:paraId="54151000" w14:textId="77777777" w:rsidR="00842FF7" w:rsidRDefault="00842FF7" w:rsidP="00842FF7">
      <w:pPr>
        <w:spacing w:after="0"/>
      </w:pPr>
      <w:r>
        <w:t>NOTE:  Typically, privacy reporting requirements are not applicable to ICS/OT.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358"/>
        <w:gridCol w:w="1622"/>
        <w:gridCol w:w="5083"/>
      </w:tblGrid>
      <w:tr w:rsidR="00842FF7" w14:paraId="7AC942E2" w14:textId="77777777" w:rsidTr="00AB040D">
        <w:trPr>
          <w:cantSplit/>
          <w:tblHeader/>
        </w:trPr>
        <w:tc>
          <w:tcPr>
            <w:tcW w:w="1424" w:type="dxa"/>
            <w:shd w:val="clear" w:color="auto" w:fill="BFBFBF" w:themeFill="background1" w:themeFillShade="BF"/>
          </w:tcPr>
          <w:p w14:paraId="4713A006" w14:textId="77777777" w:rsidR="00842FF7" w:rsidRDefault="00842FF7" w:rsidP="00AB040D">
            <w:r>
              <w:t>Country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56EEDFB8" w14:textId="77777777" w:rsidR="00842FF7" w:rsidRDefault="00842FF7" w:rsidP="00AB040D">
            <w:r>
              <w:t>Type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14:paraId="25097202" w14:textId="77777777" w:rsidR="00842FF7" w:rsidRDefault="00842FF7" w:rsidP="00AB040D">
            <w:r>
              <w:t>Enforcement</w:t>
            </w:r>
          </w:p>
        </w:tc>
        <w:tc>
          <w:tcPr>
            <w:tcW w:w="6222" w:type="dxa"/>
            <w:shd w:val="clear" w:color="auto" w:fill="BFBFBF" w:themeFill="background1" w:themeFillShade="BF"/>
          </w:tcPr>
          <w:p w14:paraId="76677A3C" w14:textId="77777777" w:rsidR="00842FF7" w:rsidRDefault="00842FF7" w:rsidP="00AB040D">
            <w:r>
              <w:t>Description</w:t>
            </w:r>
          </w:p>
        </w:tc>
      </w:tr>
      <w:tr w:rsidR="00842FF7" w14:paraId="04D2CAC6" w14:textId="77777777" w:rsidTr="00AB040D">
        <w:trPr>
          <w:cantSplit/>
          <w:trHeight w:val="890"/>
        </w:trPr>
        <w:tc>
          <w:tcPr>
            <w:tcW w:w="1424" w:type="dxa"/>
          </w:tcPr>
          <w:p w14:paraId="1617D84F" w14:textId="77777777" w:rsidR="00842FF7" w:rsidRDefault="00842FF7" w:rsidP="00AB040D">
            <w:r>
              <w:t>Brazil</w:t>
            </w:r>
          </w:p>
        </w:tc>
        <w:tc>
          <w:tcPr>
            <w:tcW w:w="1428" w:type="dxa"/>
          </w:tcPr>
          <w:p w14:paraId="2BD1FA16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3173D7FD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4431CF04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Privacy</w:t>
            </w:r>
          </w:p>
          <w:p w14:paraId="45DF9895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Data Breach Reporting Requirements explained [2022] | LGPD (Lei Geral de Proteção dos Dados) </w:t>
            </w:r>
          </w:p>
          <w:p w14:paraId="2DED5496" w14:textId="77777777" w:rsidR="00842FF7" w:rsidRDefault="00842FF7" w:rsidP="00AB040D">
            <w:hyperlink w:history="1">
              <w:r w:rsidRPr="00512127">
                <w:rPr>
                  <w:rStyle w:val="Hyperlink"/>
                </w:rPr>
                <w:t>Security incident reporting — National Data Protection Authority (www.gov.br)</w:t>
              </w:r>
            </w:hyperlink>
          </w:p>
        </w:tc>
      </w:tr>
      <w:tr w:rsidR="00842FF7" w14:paraId="0EAC5C98" w14:textId="77777777" w:rsidTr="00AB040D">
        <w:trPr>
          <w:cantSplit/>
          <w:trHeight w:val="890"/>
        </w:trPr>
        <w:tc>
          <w:tcPr>
            <w:tcW w:w="1424" w:type="dxa"/>
          </w:tcPr>
          <w:p w14:paraId="25B9BDF6" w14:textId="77777777" w:rsidR="00842FF7" w:rsidRDefault="00842FF7" w:rsidP="00AB040D">
            <w:r>
              <w:t>Canada</w:t>
            </w:r>
          </w:p>
        </w:tc>
        <w:tc>
          <w:tcPr>
            <w:tcW w:w="1428" w:type="dxa"/>
          </w:tcPr>
          <w:p w14:paraId="61B94A66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1C682890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62E8D94D" w14:textId="77777777" w:rsidR="00842FF7" w:rsidRDefault="00842FF7" w:rsidP="00AB040D">
            <w:r>
              <w:t>Privacy</w:t>
            </w:r>
          </w:p>
          <w:p w14:paraId="19E559A2" w14:textId="77777777" w:rsidR="00842FF7" w:rsidRDefault="00842FF7" w:rsidP="00AB040D">
            <w:hyperlink r:id="rId38" w:history="1">
              <w:r>
                <w:rPr>
                  <w:rStyle w:val="Hyperlink"/>
                </w:rPr>
                <w:t>British Columbia's privacy management, breach reporting requirements take effect (iapp.org)</w:t>
              </w:r>
            </w:hyperlink>
          </w:p>
        </w:tc>
      </w:tr>
      <w:tr w:rsidR="00842FF7" w14:paraId="4150028E" w14:textId="77777777" w:rsidTr="00AB040D">
        <w:trPr>
          <w:cantSplit/>
          <w:trHeight w:val="890"/>
        </w:trPr>
        <w:tc>
          <w:tcPr>
            <w:tcW w:w="1424" w:type="dxa"/>
          </w:tcPr>
          <w:p w14:paraId="0568E44D" w14:textId="77777777" w:rsidR="00842FF7" w:rsidRDefault="00842FF7" w:rsidP="00AB040D">
            <w:r>
              <w:t>EU</w:t>
            </w:r>
          </w:p>
        </w:tc>
        <w:tc>
          <w:tcPr>
            <w:tcW w:w="1428" w:type="dxa"/>
          </w:tcPr>
          <w:p w14:paraId="240B107A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5783DC21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78A0C696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Privacy</w:t>
            </w:r>
          </w:p>
          <w:p w14:paraId="4AEF5836" w14:textId="77777777" w:rsidR="00842FF7" w:rsidRDefault="00842FF7" w:rsidP="00AB040D">
            <w:pPr>
              <w:rPr>
                <w:rFonts w:eastAsia="Times New Roman"/>
              </w:rPr>
            </w:pPr>
            <w:r w:rsidRPr="001F3A58">
              <w:rPr>
                <w:rFonts w:eastAsia="Times New Roman"/>
              </w:rPr>
              <w:t>European Union General Data Protection Regulation (GDPR)</w:t>
            </w:r>
            <w:r w:rsidRPr="0074364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(items 7)</w:t>
            </w:r>
          </w:p>
          <w:p w14:paraId="5B17E2DC" w14:textId="77777777" w:rsidR="00842FF7" w:rsidRDefault="00842FF7" w:rsidP="00AB040D">
            <w:hyperlink r:id="rId39" w:history="1">
              <w:r>
                <w:rPr>
                  <w:rStyle w:val="Hyperlink"/>
                </w:rPr>
                <w:t>Art. 33 GDPR – Notification of a personal data breach to the supervisory authority - General Data Protection Regulation (GDPR) (gdpr-info.eu)</w:t>
              </w:r>
            </w:hyperlink>
          </w:p>
          <w:p w14:paraId="3E670A8F" w14:textId="77777777" w:rsidR="00842FF7" w:rsidRDefault="00842FF7" w:rsidP="00AB040D">
            <w:pPr>
              <w:rPr>
                <w:rFonts w:eastAsia="Times New Roman"/>
              </w:rPr>
            </w:pPr>
          </w:p>
          <w:p w14:paraId="120CD45D" w14:textId="77777777" w:rsidR="00842FF7" w:rsidRDefault="00842FF7" w:rsidP="00AB040D">
            <w:hyperlink r:id="rId40" w:anchor=":~:text=Gramm%2DLeach%2DBliley%20Act%20(,misuse%20of%20the%20customer's%20information." w:history="1">
              <w:r>
                <w:rPr>
                  <w:rStyle w:val="Hyperlink"/>
                </w:rPr>
                <w:t>Cyber Incident Reporting Requirements &amp; Notification Timelines for Financial Institutions - Bank Policy Institute (bpi.com)</w:t>
              </w:r>
            </w:hyperlink>
          </w:p>
          <w:p w14:paraId="113BA10C" w14:textId="77777777" w:rsidR="00842FF7" w:rsidRDefault="00842FF7" w:rsidP="00AB040D">
            <w:pPr>
              <w:ind w:left="144"/>
            </w:pPr>
          </w:p>
          <w:p w14:paraId="379DF1BF" w14:textId="77777777" w:rsidR="00842FF7" w:rsidRDefault="00842FF7" w:rsidP="00AB040D">
            <w:hyperlink r:id="rId41" w:anchor=":~:text=When%20reporting%20a%20personal%20data%20breach%2C%20you%20will,likely%20consequences%20of%20the%20incident%3B%20and%20More%20items" w:history="1">
              <w:r>
                <w:rPr>
                  <w:rStyle w:val="Hyperlink"/>
                </w:rPr>
                <w:t>Data Breach Reporting Requirements explained [2022] | GDPR Register</w:t>
              </w:r>
            </w:hyperlink>
          </w:p>
        </w:tc>
      </w:tr>
      <w:tr w:rsidR="00842FF7" w14:paraId="76DBFC57" w14:textId="77777777" w:rsidTr="00AB040D">
        <w:trPr>
          <w:cantSplit/>
          <w:trHeight w:val="890"/>
        </w:trPr>
        <w:tc>
          <w:tcPr>
            <w:tcW w:w="1424" w:type="dxa"/>
          </w:tcPr>
          <w:p w14:paraId="357ED715" w14:textId="77777777" w:rsidR="00842FF7" w:rsidRDefault="00842FF7" w:rsidP="00AB040D">
            <w:r>
              <w:t>Global</w:t>
            </w:r>
          </w:p>
        </w:tc>
        <w:tc>
          <w:tcPr>
            <w:tcW w:w="1428" w:type="dxa"/>
          </w:tcPr>
          <w:p w14:paraId="5E0DFDC5" w14:textId="77777777" w:rsidR="00842FF7" w:rsidRDefault="00842FF7" w:rsidP="00AB040D">
            <w:r>
              <w:t>Info</w:t>
            </w:r>
          </w:p>
        </w:tc>
        <w:tc>
          <w:tcPr>
            <w:tcW w:w="1716" w:type="dxa"/>
          </w:tcPr>
          <w:p w14:paraId="59CD50CC" w14:textId="77777777" w:rsidR="00842FF7" w:rsidRDefault="00842FF7" w:rsidP="00AB040D">
            <w:r>
              <w:t>Info</w:t>
            </w:r>
          </w:p>
        </w:tc>
        <w:tc>
          <w:tcPr>
            <w:tcW w:w="6222" w:type="dxa"/>
          </w:tcPr>
          <w:p w14:paraId="34A180F8" w14:textId="77777777" w:rsidR="00842FF7" w:rsidRDefault="00842FF7" w:rsidP="00AB040D">
            <w:r>
              <w:t>Privacy</w:t>
            </w:r>
          </w:p>
          <w:p w14:paraId="32DD8249" w14:textId="77777777" w:rsidR="00842FF7" w:rsidRDefault="00842FF7" w:rsidP="00AB040D">
            <w:r>
              <w:t>Various Data Privacy / Health laws around the world require reporting.  Generally, this will not impact ICS/OT cybersecurity incidents.  These requirements have encouraged companies to establish “incident declaration” procedures and authorities to prevent incidents from being declared prematurely.  A company commits significant resources and possibly large funds once an incident is declared.</w:t>
            </w:r>
          </w:p>
        </w:tc>
      </w:tr>
      <w:tr w:rsidR="00842FF7" w14:paraId="145D0BCF" w14:textId="77777777" w:rsidTr="00AB040D">
        <w:trPr>
          <w:cantSplit/>
          <w:trHeight w:val="890"/>
        </w:trPr>
        <w:tc>
          <w:tcPr>
            <w:tcW w:w="1424" w:type="dxa"/>
          </w:tcPr>
          <w:p w14:paraId="706C7CEE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0D01A2E3" w14:textId="77777777" w:rsidR="00842FF7" w:rsidRDefault="00842FF7" w:rsidP="00AB040D">
            <w:r>
              <w:t>Regulation</w:t>
            </w:r>
          </w:p>
        </w:tc>
        <w:tc>
          <w:tcPr>
            <w:tcW w:w="1716" w:type="dxa"/>
          </w:tcPr>
          <w:p w14:paraId="12D28BA6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32442716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Privacy (health)</w:t>
            </w:r>
          </w:p>
          <w:p w14:paraId="7B9C5147" w14:textId="77777777" w:rsidR="00842FF7" w:rsidRDefault="00842FF7" w:rsidP="00AB040D">
            <w:pPr>
              <w:rPr>
                <w:rFonts w:eastAsia="Times New Roman"/>
              </w:rPr>
            </w:pPr>
            <w:r w:rsidRPr="008E32D2">
              <w:rPr>
                <w:rFonts w:eastAsia="Times New Roman"/>
              </w:rPr>
              <w:t>U.S. Department of Health and Human Services Office for Civil Rights</w:t>
            </w:r>
          </w:p>
          <w:p w14:paraId="36E70C47" w14:textId="77777777" w:rsidR="00842FF7" w:rsidRDefault="00842FF7" w:rsidP="00AB040D">
            <w:pPr>
              <w:rPr>
                <w:rFonts w:eastAsia="Times New Roman"/>
              </w:rPr>
            </w:pPr>
            <w:r w:rsidRPr="008E32D2">
              <w:rPr>
                <w:rFonts w:eastAsia="Times New Roman"/>
              </w:rPr>
              <w:t>Breach Portal: Notice to the Secretary of HHS Breach of Unsecured Protected Health Information</w:t>
            </w:r>
          </w:p>
          <w:p w14:paraId="58CEC074" w14:textId="77777777" w:rsidR="00842FF7" w:rsidRDefault="00842FF7" w:rsidP="00AB040D">
            <w:pPr>
              <w:rPr>
                <w:rFonts w:eastAsia="Times New Roman"/>
              </w:rPr>
            </w:pPr>
            <w:hyperlink r:id="rId42" w:history="1">
              <w:r>
                <w:rPr>
                  <w:rStyle w:val="Hyperlink"/>
                  <w:rFonts w:eastAsia="Times New Roman"/>
                </w:rPr>
                <w:t>Breaches Affecting 500 or More Individuals</w:t>
              </w:r>
            </w:hyperlink>
          </w:p>
          <w:p w14:paraId="0EBA18FB" w14:textId="77777777" w:rsidR="00842FF7" w:rsidRDefault="00842FF7" w:rsidP="00AB040D">
            <w:pPr>
              <w:rPr>
                <w:rFonts w:eastAsia="Times New Roman"/>
              </w:rPr>
            </w:pPr>
            <w:hyperlink r:id="rId43" w:history="1">
              <w:r>
                <w:rPr>
                  <w:rStyle w:val="Hyperlink"/>
                  <w:rFonts w:eastAsia="Times New Roman"/>
                </w:rPr>
                <w:t>Breaches Affecting Fewer than 500 Individuals</w:t>
              </w:r>
            </w:hyperlink>
          </w:p>
        </w:tc>
      </w:tr>
      <w:tr w:rsidR="00842FF7" w14:paraId="1D26B73D" w14:textId="77777777" w:rsidTr="00AB040D">
        <w:trPr>
          <w:cantSplit/>
          <w:trHeight w:val="890"/>
        </w:trPr>
        <w:tc>
          <w:tcPr>
            <w:tcW w:w="1424" w:type="dxa"/>
          </w:tcPr>
          <w:p w14:paraId="509AC7A2" w14:textId="77777777" w:rsidR="00842FF7" w:rsidRDefault="00842FF7" w:rsidP="00AB040D">
            <w:r>
              <w:t>USA</w:t>
            </w:r>
          </w:p>
        </w:tc>
        <w:tc>
          <w:tcPr>
            <w:tcW w:w="1428" w:type="dxa"/>
          </w:tcPr>
          <w:p w14:paraId="5CE97DF9" w14:textId="77777777" w:rsidR="00842FF7" w:rsidRDefault="00842FF7" w:rsidP="00AB040D">
            <w:r>
              <w:t>Law</w:t>
            </w:r>
          </w:p>
        </w:tc>
        <w:tc>
          <w:tcPr>
            <w:tcW w:w="1716" w:type="dxa"/>
          </w:tcPr>
          <w:p w14:paraId="0492976C" w14:textId="77777777" w:rsidR="00842FF7" w:rsidRDefault="00842FF7" w:rsidP="00AB040D">
            <w:r>
              <w:t>Required</w:t>
            </w:r>
          </w:p>
        </w:tc>
        <w:tc>
          <w:tcPr>
            <w:tcW w:w="6222" w:type="dxa"/>
          </w:tcPr>
          <w:p w14:paraId="06C7B52C" w14:textId="77777777" w:rsidR="00842FF7" w:rsidRDefault="00842FF7" w:rsidP="00AB040D">
            <w:r>
              <w:t>Privacy (health)</w:t>
            </w:r>
          </w:p>
          <w:p w14:paraId="367E0F88" w14:textId="77777777" w:rsidR="00842FF7" w:rsidRDefault="00842FF7" w:rsidP="00AB040D">
            <w:hyperlink r:id="rId44" w:history="1">
              <w:r>
                <w:rPr>
                  <w:rStyle w:val="Hyperlink"/>
                </w:rPr>
                <w:t>Reporting HIPAA Breaches: Deadline March 1, 2021 (totalhipaa.com)</w:t>
              </w:r>
            </w:hyperlink>
          </w:p>
        </w:tc>
      </w:tr>
      <w:tr w:rsidR="00842FF7" w14:paraId="61EE9F22" w14:textId="77777777" w:rsidTr="00AB040D">
        <w:trPr>
          <w:cantSplit/>
          <w:trHeight w:val="890"/>
        </w:trPr>
        <w:tc>
          <w:tcPr>
            <w:tcW w:w="1424" w:type="dxa"/>
          </w:tcPr>
          <w:p w14:paraId="71506909" w14:textId="77777777" w:rsidR="00842FF7" w:rsidRDefault="00842FF7" w:rsidP="00AB040D">
            <w:r>
              <w:lastRenderedPageBreak/>
              <w:t>USA</w:t>
            </w:r>
          </w:p>
        </w:tc>
        <w:tc>
          <w:tcPr>
            <w:tcW w:w="1428" w:type="dxa"/>
          </w:tcPr>
          <w:p w14:paraId="34DA8238" w14:textId="77777777" w:rsidR="00842FF7" w:rsidRDefault="00842FF7" w:rsidP="00AB040D">
            <w:r>
              <w:t>Regulation</w:t>
            </w:r>
          </w:p>
        </w:tc>
        <w:tc>
          <w:tcPr>
            <w:tcW w:w="1716" w:type="dxa"/>
          </w:tcPr>
          <w:p w14:paraId="3DC2733D" w14:textId="77777777" w:rsidR="00842FF7" w:rsidRDefault="00842FF7" w:rsidP="00AB040D">
            <w:r>
              <w:t>Various</w:t>
            </w:r>
          </w:p>
        </w:tc>
        <w:tc>
          <w:tcPr>
            <w:tcW w:w="6222" w:type="dxa"/>
          </w:tcPr>
          <w:p w14:paraId="67CBBD48" w14:textId="77777777" w:rsidR="00842FF7" w:rsidRDefault="00842FF7" w:rsidP="00AB040D">
            <w:r>
              <w:t>Privacy (state)</w:t>
            </w:r>
          </w:p>
          <w:p w14:paraId="0E294FFF" w14:textId="77777777" w:rsidR="00842FF7" w:rsidRDefault="00842FF7" w:rsidP="00AB040D">
            <w:hyperlink r:id="rId45" w:history="1">
              <w:r>
                <w:rPr>
                  <w:rStyle w:val="Hyperlink"/>
                </w:rPr>
                <w:t>State Data Breach Notification Chart (iapp.org)</w:t>
              </w:r>
            </w:hyperlink>
          </w:p>
        </w:tc>
      </w:tr>
    </w:tbl>
    <w:p w14:paraId="1A5BCFB8" w14:textId="77777777" w:rsidR="00842FF7" w:rsidRDefault="00842FF7" w:rsidP="00842FF7">
      <w:pPr>
        <w:pStyle w:val="Heading2"/>
      </w:pPr>
      <w:r>
        <w:br w:type="page"/>
      </w:r>
      <w:r>
        <w:lastRenderedPageBreak/>
        <w:t>Finance</w:t>
      </w:r>
    </w:p>
    <w:p w14:paraId="4F3C7CB1" w14:textId="77777777" w:rsidR="00842FF7" w:rsidRDefault="00842FF7" w:rsidP="00842FF7">
      <w:pPr>
        <w:spacing w:after="0"/>
      </w:pPr>
      <w:r>
        <w:t>Instructions:  Review this table to identify finance laws and regulations that are applicable to the countries and industries for your company.   Include those that apply in the “Decision Factors (Table)”</w:t>
      </w:r>
    </w:p>
    <w:p w14:paraId="5E886AA4" w14:textId="77777777" w:rsidR="00842FF7" w:rsidRDefault="00842FF7" w:rsidP="00842FF7">
      <w:pPr>
        <w:spacing w:after="0"/>
      </w:pPr>
      <w:r>
        <w:t>NOTE:  Typically, finance reporting requirements are not applicable to ICS/OT.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61"/>
        <w:gridCol w:w="1664"/>
        <w:gridCol w:w="4993"/>
      </w:tblGrid>
      <w:tr w:rsidR="00842FF7" w14:paraId="0D8D4835" w14:textId="77777777" w:rsidTr="001107CC">
        <w:trPr>
          <w:cantSplit/>
          <w:tblHeader/>
        </w:trPr>
        <w:tc>
          <w:tcPr>
            <w:tcW w:w="1332" w:type="dxa"/>
            <w:shd w:val="clear" w:color="auto" w:fill="BFBFBF" w:themeFill="background1" w:themeFillShade="BF"/>
          </w:tcPr>
          <w:p w14:paraId="326FF556" w14:textId="77777777" w:rsidR="00842FF7" w:rsidRDefault="00842FF7" w:rsidP="00AB040D">
            <w:pPr>
              <w:ind w:left="144"/>
            </w:pPr>
            <w:r>
              <w:t>Country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0C23C354" w14:textId="77777777" w:rsidR="00842FF7" w:rsidRDefault="00842FF7" w:rsidP="00AB040D">
            <w:pPr>
              <w:ind w:left="144"/>
            </w:pPr>
            <w:r>
              <w:t>Type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5309343F" w14:textId="77777777" w:rsidR="00842FF7" w:rsidRDefault="00842FF7" w:rsidP="00AB040D">
            <w:pPr>
              <w:ind w:left="144"/>
            </w:pPr>
            <w:r>
              <w:t>Enforcement</w:t>
            </w:r>
          </w:p>
        </w:tc>
        <w:tc>
          <w:tcPr>
            <w:tcW w:w="4993" w:type="dxa"/>
            <w:shd w:val="clear" w:color="auto" w:fill="BFBFBF" w:themeFill="background1" w:themeFillShade="BF"/>
          </w:tcPr>
          <w:p w14:paraId="232640B6" w14:textId="77777777" w:rsidR="00842FF7" w:rsidRDefault="00842FF7" w:rsidP="00AB040D">
            <w:pPr>
              <w:ind w:left="144"/>
            </w:pPr>
            <w:r>
              <w:t>Description</w:t>
            </w:r>
          </w:p>
        </w:tc>
      </w:tr>
      <w:tr w:rsidR="00842FF7" w14:paraId="347D8BC9" w14:textId="77777777" w:rsidTr="001107CC">
        <w:trPr>
          <w:cantSplit/>
          <w:trHeight w:val="890"/>
        </w:trPr>
        <w:tc>
          <w:tcPr>
            <w:tcW w:w="1332" w:type="dxa"/>
          </w:tcPr>
          <w:p w14:paraId="0017D4AD" w14:textId="77777777" w:rsidR="00842FF7" w:rsidRDefault="00842FF7" w:rsidP="00AB040D">
            <w:r>
              <w:t>USA</w:t>
            </w:r>
          </w:p>
        </w:tc>
        <w:tc>
          <w:tcPr>
            <w:tcW w:w="1361" w:type="dxa"/>
          </w:tcPr>
          <w:p w14:paraId="2D46A5E6" w14:textId="77777777" w:rsidR="00842FF7" w:rsidRDefault="00842FF7" w:rsidP="00AB040D">
            <w:r>
              <w:t>Law</w:t>
            </w:r>
          </w:p>
        </w:tc>
        <w:tc>
          <w:tcPr>
            <w:tcW w:w="1664" w:type="dxa"/>
          </w:tcPr>
          <w:p w14:paraId="0A57331D" w14:textId="77777777" w:rsidR="00842FF7" w:rsidRDefault="00842FF7" w:rsidP="00AB040D">
            <w:r>
              <w:t>Required</w:t>
            </w:r>
          </w:p>
        </w:tc>
        <w:tc>
          <w:tcPr>
            <w:tcW w:w="4993" w:type="dxa"/>
          </w:tcPr>
          <w:p w14:paraId="4E509662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 (banking)</w:t>
            </w:r>
          </w:p>
          <w:p w14:paraId="04A605F2" w14:textId="77777777" w:rsidR="00842FF7" w:rsidRDefault="00842FF7" w:rsidP="00AB040D">
            <w:pPr>
              <w:rPr>
                <w:rFonts w:eastAsia="Times New Roman"/>
              </w:rPr>
            </w:pPr>
            <w:r w:rsidRPr="008214E4">
              <w:rPr>
                <w:rFonts w:eastAsia="Times New Roman"/>
              </w:rPr>
              <w:t>Security Incident Notification Requirements for Banking Organizations and Their Bank Service Providers (2022)</w:t>
            </w:r>
            <w:r>
              <w:rPr>
                <w:rFonts w:eastAsia="Times New Roman"/>
              </w:rPr>
              <w:t xml:space="preserve"> (items 2)</w:t>
            </w:r>
          </w:p>
          <w:p w14:paraId="703ECE4E" w14:textId="77777777" w:rsidR="00842FF7" w:rsidRDefault="00842FF7" w:rsidP="00AB040D">
            <w:hyperlink r:id="rId46" w:anchor=":~:text=Gramm%2DLeach%2DBliley%20Act%20(,misuse%20of%20the%20customer's%20information." w:history="1">
              <w:r>
                <w:rPr>
                  <w:rStyle w:val="Hyperlink"/>
                </w:rPr>
                <w:t>Cyber Incident Reporting Requirements &amp; Notification Timelines for Financial Institutions - Bank Policy Institute (bpi.com)</w:t>
              </w:r>
            </w:hyperlink>
          </w:p>
        </w:tc>
      </w:tr>
      <w:tr w:rsidR="00842FF7" w14:paraId="486B25C6" w14:textId="77777777" w:rsidTr="001107CC">
        <w:trPr>
          <w:cantSplit/>
          <w:trHeight w:val="890"/>
        </w:trPr>
        <w:tc>
          <w:tcPr>
            <w:tcW w:w="1332" w:type="dxa"/>
          </w:tcPr>
          <w:p w14:paraId="4F6864D3" w14:textId="77777777" w:rsidR="00842FF7" w:rsidRDefault="00842FF7" w:rsidP="00AB040D">
            <w:r>
              <w:t>USA</w:t>
            </w:r>
          </w:p>
        </w:tc>
        <w:tc>
          <w:tcPr>
            <w:tcW w:w="1361" w:type="dxa"/>
          </w:tcPr>
          <w:p w14:paraId="72F0E571" w14:textId="77777777" w:rsidR="00842FF7" w:rsidRDefault="00842FF7" w:rsidP="00AB040D">
            <w:r>
              <w:t>Law</w:t>
            </w:r>
          </w:p>
        </w:tc>
        <w:tc>
          <w:tcPr>
            <w:tcW w:w="1664" w:type="dxa"/>
          </w:tcPr>
          <w:p w14:paraId="1E9F0462" w14:textId="77777777" w:rsidR="00842FF7" w:rsidRDefault="00842FF7" w:rsidP="00AB040D">
            <w:r>
              <w:t>Required</w:t>
            </w:r>
          </w:p>
        </w:tc>
        <w:tc>
          <w:tcPr>
            <w:tcW w:w="4993" w:type="dxa"/>
          </w:tcPr>
          <w:p w14:paraId="5577DF78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 (banking)</w:t>
            </w:r>
          </w:p>
          <w:p w14:paraId="72C4DD73" w14:textId="77777777" w:rsidR="00842FF7" w:rsidRDefault="00842FF7" w:rsidP="00AB040D">
            <w:pPr>
              <w:rPr>
                <w:rFonts w:eastAsia="Times New Roman"/>
              </w:rPr>
            </w:pPr>
            <w:r w:rsidRPr="00743578">
              <w:rPr>
                <w:rFonts w:eastAsia="Times New Roman"/>
              </w:rPr>
              <w:t>Gramm-Leach-Bliley Act (1999)</w:t>
            </w:r>
            <w:r w:rsidRPr="0074364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(items 6)</w:t>
            </w:r>
          </w:p>
          <w:p w14:paraId="05708356" w14:textId="77777777" w:rsidR="00842FF7" w:rsidRDefault="00842FF7" w:rsidP="00AB040D">
            <w:hyperlink r:id="rId47" w:anchor=":~:text=Gramm%2DLeach%2DBliley%20Act%20(,misuse%20of%20the%20customer's%20information." w:history="1">
              <w:r>
                <w:rPr>
                  <w:rStyle w:val="Hyperlink"/>
                </w:rPr>
                <w:t>Cyber Incident Reporting Requirements &amp; Notification Timelines for Financial Institutions - Bank Policy Institute (bpi.com)</w:t>
              </w:r>
            </w:hyperlink>
          </w:p>
        </w:tc>
      </w:tr>
      <w:tr w:rsidR="00842FF7" w14:paraId="0BA2657E" w14:textId="77777777" w:rsidTr="001107CC">
        <w:trPr>
          <w:cantSplit/>
          <w:trHeight w:val="890"/>
        </w:trPr>
        <w:tc>
          <w:tcPr>
            <w:tcW w:w="1332" w:type="dxa"/>
          </w:tcPr>
          <w:p w14:paraId="51950B39" w14:textId="77777777" w:rsidR="00842FF7" w:rsidRDefault="00842FF7" w:rsidP="00AB040D">
            <w:r>
              <w:t>USA</w:t>
            </w:r>
          </w:p>
        </w:tc>
        <w:tc>
          <w:tcPr>
            <w:tcW w:w="1361" w:type="dxa"/>
          </w:tcPr>
          <w:p w14:paraId="5DDC71EE" w14:textId="77777777" w:rsidR="00842FF7" w:rsidRDefault="00842FF7" w:rsidP="00AB040D">
            <w:r>
              <w:t>Law</w:t>
            </w:r>
          </w:p>
        </w:tc>
        <w:tc>
          <w:tcPr>
            <w:tcW w:w="1664" w:type="dxa"/>
          </w:tcPr>
          <w:p w14:paraId="6D0BAAB3" w14:textId="77777777" w:rsidR="00842FF7" w:rsidRDefault="00842FF7" w:rsidP="00AB040D">
            <w:r>
              <w:t>Required</w:t>
            </w:r>
          </w:p>
        </w:tc>
        <w:tc>
          <w:tcPr>
            <w:tcW w:w="4993" w:type="dxa"/>
          </w:tcPr>
          <w:p w14:paraId="73A07CCD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 (insurance)</w:t>
            </w:r>
          </w:p>
          <w:p w14:paraId="6EE0B457" w14:textId="77777777" w:rsidR="00842FF7" w:rsidRDefault="00842FF7" w:rsidP="00AB040D">
            <w:pPr>
              <w:rPr>
                <w:rFonts w:eastAsia="Times New Roman"/>
              </w:rPr>
            </w:pPr>
            <w:r w:rsidRPr="003C1DE6">
              <w:rPr>
                <w:rFonts w:eastAsia="Times New Roman"/>
              </w:rPr>
              <w:t>National Association of Insurance Commissioners (NAIC) Model Law</w:t>
            </w:r>
            <w:r w:rsidRPr="00DC502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(items 9)</w:t>
            </w:r>
          </w:p>
          <w:p w14:paraId="3D734ECA" w14:textId="77777777" w:rsidR="00842FF7" w:rsidRDefault="00842FF7" w:rsidP="00AB040D">
            <w:hyperlink r:id="rId48" w:anchor=":~:text=Gramm%2DLeach%2DBliley%20Act%20(,misuse%20of%20the%20customer's%20information." w:history="1">
              <w:r>
                <w:rPr>
                  <w:rStyle w:val="Hyperlink"/>
                </w:rPr>
                <w:t>Cyber Incident Reporting Requirements &amp; Notification Timelines for Financial Institutions - Bank Policy Institute (bpi.com)</w:t>
              </w:r>
            </w:hyperlink>
          </w:p>
        </w:tc>
      </w:tr>
      <w:tr w:rsidR="00842FF7" w14:paraId="21B55F9A" w14:textId="77777777" w:rsidTr="001107CC">
        <w:trPr>
          <w:cantSplit/>
          <w:trHeight w:val="890"/>
        </w:trPr>
        <w:tc>
          <w:tcPr>
            <w:tcW w:w="1332" w:type="dxa"/>
          </w:tcPr>
          <w:p w14:paraId="701C3889" w14:textId="77777777" w:rsidR="00842FF7" w:rsidRDefault="00842FF7" w:rsidP="00AB040D">
            <w:r>
              <w:t>USA</w:t>
            </w:r>
          </w:p>
        </w:tc>
        <w:tc>
          <w:tcPr>
            <w:tcW w:w="1361" w:type="dxa"/>
          </w:tcPr>
          <w:p w14:paraId="05B1CE98" w14:textId="77777777" w:rsidR="00842FF7" w:rsidRDefault="00842FF7" w:rsidP="00AB040D">
            <w:r>
              <w:t>Law</w:t>
            </w:r>
          </w:p>
        </w:tc>
        <w:tc>
          <w:tcPr>
            <w:tcW w:w="1664" w:type="dxa"/>
          </w:tcPr>
          <w:p w14:paraId="114F4336" w14:textId="77777777" w:rsidR="00842FF7" w:rsidRDefault="00842FF7" w:rsidP="00AB040D">
            <w:r>
              <w:t>Required</w:t>
            </w:r>
          </w:p>
        </w:tc>
        <w:tc>
          <w:tcPr>
            <w:tcW w:w="4993" w:type="dxa"/>
          </w:tcPr>
          <w:p w14:paraId="28D2259E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 (New York)</w:t>
            </w:r>
          </w:p>
          <w:p w14:paraId="20F9DE51" w14:textId="77777777" w:rsidR="00842FF7" w:rsidRDefault="00842FF7" w:rsidP="00AB040D">
            <w:pPr>
              <w:rPr>
                <w:rFonts w:eastAsia="Times New Roman"/>
              </w:rPr>
            </w:pPr>
            <w:r w:rsidRPr="00515FB4">
              <w:rPr>
                <w:rFonts w:eastAsia="Times New Roman"/>
              </w:rPr>
              <w:t xml:space="preserve">New York Department of Financial Services (NYDFS) Cybersecurity Regulation </w:t>
            </w:r>
            <w:r>
              <w:rPr>
                <w:rFonts w:eastAsia="Times New Roman"/>
              </w:rPr>
              <w:t>(items 10)</w:t>
            </w:r>
          </w:p>
          <w:p w14:paraId="2CD27A95" w14:textId="77777777" w:rsidR="00842FF7" w:rsidRDefault="00842FF7" w:rsidP="00AB040D">
            <w:hyperlink r:id="rId49" w:anchor=":~:text=Gramm%2DLeach%2DBliley%20Act%20(,misuse%20of%20the%20customer's%20information." w:history="1">
              <w:r>
                <w:rPr>
                  <w:rStyle w:val="Hyperlink"/>
                </w:rPr>
                <w:t>Cyber Incident Reporting Requirements &amp; Notification Timelines for Financial Institutions - Bank Policy Institute (bpi.com)</w:t>
              </w:r>
            </w:hyperlink>
          </w:p>
        </w:tc>
      </w:tr>
      <w:tr w:rsidR="00842FF7" w14:paraId="04BE91E3" w14:textId="77777777" w:rsidTr="001107CC">
        <w:trPr>
          <w:cantSplit/>
        </w:trPr>
        <w:tc>
          <w:tcPr>
            <w:tcW w:w="1332" w:type="dxa"/>
          </w:tcPr>
          <w:p w14:paraId="0AB3BBE9" w14:textId="77777777" w:rsidR="00842FF7" w:rsidRDefault="00842FF7" w:rsidP="00AB040D">
            <w:r>
              <w:t>USA</w:t>
            </w:r>
          </w:p>
        </w:tc>
        <w:tc>
          <w:tcPr>
            <w:tcW w:w="1361" w:type="dxa"/>
          </w:tcPr>
          <w:p w14:paraId="2C3C95AA" w14:textId="77777777" w:rsidR="00842FF7" w:rsidRDefault="00842FF7" w:rsidP="00AB040D">
            <w:r>
              <w:t>Regulation</w:t>
            </w:r>
          </w:p>
        </w:tc>
        <w:tc>
          <w:tcPr>
            <w:tcW w:w="1664" w:type="dxa"/>
          </w:tcPr>
          <w:p w14:paraId="2B466131" w14:textId="4773B444" w:rsidR="00842FF7" w:rsidRDefault="00C2608E" w:rsidP="00AB040D">
            <w:r>
              <w:t>Required</w:t>
            </w:r>
          </w:p>
        </w:tc>
        <w:tc>
          <w:tcPr>
            <w:tcW w:w="4993" w:type="dxa"/>
          </w:tcPr>
          <w:p w14:paraId="460B64C0" w14:textId="77777777" w:rsidR="00842FF7" w:rsidRDefault="00842FF7" w:rsidP="00AB040D">
            <w:r>
              <w:t>Finance (SEC)</w:t>
            </w:r>
          </w:p>
          <w:p w14:paraId="50A92A0A" w14:textId="20D69C50" w:rsidR="00842FF7" w:rsidRDefault="004F4124" w:rsidP="00AB040D">
            <w:hyperlink r:id="rId50" w:history="1">
              <w:r>
                <w:rPr>
                  <w:rStyle w:val="Hyperlink"/>
                </w:rPr>
                <w:t>SEC.gov | SEC Adopts Rules on Cybersecurity Risk Management, Strategy, Governance, and Incident Disclosure by Public Companies</w:t>
              </w:r>
            </w:hyperlink>
          </w:p>
        </w:tc>
      </w:tr>
      <w:tr w:rsidR="00842FF7" w14:paraId="40FE452E" w14:textId="77777777" w:rsidTr="001107CC">
        <w:trPr>
          <w:cantSplit/>
          <w:trHeight w:val="890"/>
        </w:trPr>
        <w:tc>
          <w:tcPr>
            <w:tcW w:w="1332" w:type="dxa"/>
          </w:tcPr>
          <w:p w14:paraId="1DEF532F" w14:textId="77777777" w:rsidR="00842FF7" w:rsidRDefault="00842FF7" w:rsidP="00AB040D">
            <w:r>
              <w:t>USA</w:t>
            </w:r>
          </w:p>
        </w:tc>
        <w:tc>
          <w:tcPr>
            <w:tcW w:w="1361" w:type="dxa"/>
          </w:tcPr>
          <w:p w14:paraId="015701E1" w14:textId="77777777" w:rsidR="00842FF7" w:rsidRDefault="00842FF7" w:rsidP="00AB040D">
            <w:r>
              <w:t>Law</w:t>
            </w:r>
          </w:p>
        </w:tc>
        <w:tc>
          <w:tcPr>
            <w:tcW w:w="1664" w:type="dxa"/>
          </w:tcPr>
          <w:p w14:paraId="01EFB303" w14:textId="77777777" w:rsidR="00842FF7" w:rsidRDefault="00842FF7" w:rsidP="00AB040D">
            <w:r>
              <w:t>Required</w:t>
            </w:r>
          </w:p>
        </w:tc>
        <w:tc>
          <w:tcPr>
            <w:tcW w:w="4993" w:type="dxa"/>
          </w:tcPr>
          <w:p w14:paraId="63B33C40" w14:textId="77777777" w:rsidR="00842FF7" w:rsidRDefault="00842FF7" w:rsidP="00AB0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 (State)</w:t>
            </w:r>
          </w:p>
          <w:p w14:paraId="6E1B577F" w14:textId="77777777" w:rsidR="00842FF7" w:rsidRDefault="00842FF7" w:rsidP="00AB040D">
            <w:pPr>
              <w:rPr>
                <w:rFonts w:eastAsia="Times New Roman"/>
              </w:rPr>
            </w:pPr>
            <w:r w:rsidRPr="00754D9D">
              <w:rPr>
                <w:rFonts w:eastAsia="Times New Roman"/>
              </w:rPr>
              <w:t>State Data Breach Notification Requirements</w:t>
            </w:r>
            <w:r w:rsidRPr="00515F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(items 11)</w:t>
            </w:r>
          </w:p>
          <w:p w14:paraId="29F8987A" w14:textId="77777777" w:rsidR="00842FF7" w:rsidRDefault="00842FF7" w:rsidP="00AB040D">
            <w:hyperlink r:id="rId51" w:anchor=":~:text=Gramm%2DLeach%2DBliley%20Act%20(,misuse%20of%20the%20customer's%20information." w:history="1">
              <w:r>
                <w:rPr>
                  <w:rStyle w:val="Hyperlink"/>
                </w:rPr>
                <w:t>Cyber Incident Reporting Requirements &amp; Notification Timelines for Financial Institutions - Bank Policy Institute (bpi.com)</w:t>
              </w:r>
            </w:hyperlink>
          </w:p>
        </w:tc>
      </w:tr>
    </w:tbl>
    <w:p w14:paraId="75B0CCC6" w14:textId="77777777" w:rsidR="00842FF7" w:rsidRDefault="00842FF7" w:rsidP="00842FF7"/>
    <w:p w14:paraId="13891B79" w14:textId="77777777" w:rsidR="003B51A4" w:rsidRDefault="003B51A4" w:rsidP="00842FF7">
      <w:pPr>
        <w:pStyle w:val="Heading2"/>
      </w:pPr>
    </w:p>
    <w:sectPr w:rsidR="003B51A4">
      <w:foot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461C" w14:textId="77777777" w:rsidR="008D5F50" w:rsidRDefault="008D5F50" w:rsidP="00381579">
      <w:pPr>
        <w:spacing w:after="0" w:line="240" w:lineRule="auto"/>
      </w:pPr>
      <w:r>
        <w:separator/>
      </w:r>
    </w:p>
  </w:endnote>
  <w:endnote w:type="continuationSeparator" w:id="0">
    <w:p w14:paraId="7C2BB4D2" w14:textId="77777777" w:rsidR="008D5F50" w:rsidRDefault="008D5F50" w:rsidP="0038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46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E7056" w14:textId="3E77B11F" w:rsidR="00381579" w:rsidRDefault="003815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7596E" w14:textId="77777777" w:rsidR="00381579" w:rsidRDefault="00381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DFD0" w14:textId="77777777" w:rsidR="008D5F50" w:rsidRDefault="008D5F50" w:rsidP="00381579">
      <w:pPr>
        <w:spacing w:after="0" w:line="240" w:lineRule="auto"/>
      </w:pPr>
      <w:r>
        <w:separator/>
      </w:r>
    </w:p>
  </w:footnote>
  <w:footnote w:type="continuationSeparator" w:id="0">
    <w:p w14:paraId="42A6CDE0" w14:textId="77777777" w:rsidR="008D5F50" w:rsidRDefault="008D5F50" w:rsidP="0038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9D0"/>
    <w:multiLevelType w:val="hybridMultilevel"/>
    <w:tmpl w:val="705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3138"/>
    <w:multiLevelType w:val="hybridMultilevel"/>
    <w:tmpl w:val="CEB2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F78"/>
    <w:multiLevelType w:val="hybridMultilevel"/>
    <w:tmpl w:val="591CE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140"/>
    <w:multiLevelType w:val="hybridMultilevel"/>
    <w:tmpl w:val="D1DC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D60E5"/>
    <w:multiLevelType w:val="hybridMultilevel"/>
    <w:tmpl w:val="DEA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40E9"/>
    <w:multiLevelType w:val="hybridMultilevel"/>
    <w:tmpl w:val="CCD2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3A69"/>
    <w:multiLevelType w:val="hybridMultilevel"/>
    <w:tmpl w:val="919EF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039EF"/>
    <w:multiLevelType w:val="hybridMultilevel"/>
    <w:tmpl w:val="70864820"/>
    <w:lvl w:ilvl="0" w:tplc="6A164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2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68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8E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89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AA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0A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1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2F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42EFC"/>
    <w:multiLevelType w:val="hybridMultilevel"/>
    <w:tmpl w:val="8DE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51379"/>
    <w:multiLevelType w:val="hybridMultilevel"/>
    <w:tmpl w:val="5580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A79E1"/>
    <w:multiLevelType w:val="hybridMultilevel"/>
    <w:tmpl w:val="0E34672A"/>
    <w:lvl w:ilvl="0" w:tplc="1C80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D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63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AD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EA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EF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64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C7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CD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267F9"/>
    <w:multiLevelType w:val="hybridMultilevel"/>
    <w:tmpl w:val="2182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83319">
    <w:abstractNumId w:val="7"/>
  </w:num>
  <w:num w:numId="2" w16cid:durableId="1894349341">
    <w:abstractNumId w:val="10"/>
  </w:num>
  <w:num w:numId="3" w16cid:durableId="2053071718">
    <w:abstractNumId w:val="9"/>
  </w:num>
  <w:num w:numId="4" w16cid:durableId="445079848">
    <w:abstractNumId w:val="6"/>
  </w:num>
  <w:num w:numId="5" w16cid:durableId="1339846322">
    <w:abstractNumId w:val="11"/>
  </w:num>
  <w:num w:numId="6" w16cid:durableId="87312129">
    <w:abstractNumId w:val="4"/>
  </w:num>
  <w:num w:numId="7" w16cid:durableId="1413240900">
    <w:abstractNumId w:val="3"/>
  </w:num>
  <w:num w:numId="8" w16cid:durableId="222452833">
    <w:abstractNumId w:val="5"/>
  </w:num>
  <w:num w:numId="9" w16cid:durableId="2136482446">
    <w:abstractNumId w:val="2"/>
  </w:num>
  <w:num w:numId="10" w16cid:durableId="805051734">
    <w:abstractNumId w:val="1"/>
  </w:num>
  <w:num w:numId="11" w16cid:durableId="1800368664">
    <w:abstractNumId w:val="8"/>
  </w:num>
  <w:num w:numId="12" w16cid:durableId="173789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BD"/>
    <w:rsid w:val="000015EC"/>
    <w:rsid w:val="00014751"/>
    <w:rsid w:val="00023C60"/>
    <w:rsid w:val="00063ECA"/>
    <w:rsid w:val="00074BEF"/>
    <w:rsid w:val="00075680"/>
    <w:rsid w:val="00086BF0"/>
    <w:rsid w:val="000926AD"/>
    <w:rsid w:val="000E55AE"/>
    <w:rsid w:val="000F4034"/>
    <w:rsid w:val="000F5E88"/>
    <w:rsid w:val="00101053"/>
    <w:rsid w:val="001107CC"/>
    <w:rsid w:val="00116647"/>
    <w:rsid w:val="00133DCF"/>
    <w:rsid w:val="001506BA"/>
    <w:rsid w:val="001608DA"/>
    <w:rsid w:val="0016737C"/>
    <w:rsid w:val="0017173C"/>
    <w:rsid w:val="0017256E"/>
    <w:rsid w:val="00175DA2"/>
    <w:rsid w:val="001B05DF"/>
    <w:rsid w:val="001B55E0"/>
    <w:rsid w:val="001E191D"/>
    <w:rsid w:val="001E71BF"/>
    <w:rsid w:val="001F21A2"/>
    <w:rsid w:val="001F4603"/>
    <w:rsid w:val="002012BD"/>
    <w:rsid w:val="0021680A"/>
    <w:rsid w:val="00223E06"/>
    <w:rsid w:val="00224814"/>
    <w:rsid w:val="0022499C"/>
    <w:rsid w:val="00240173"/>
    <w:rsid w:val="0024375B"/>
    <w:rsid w:val="0025017D"/>
    <w:rsid w:val="00255AB8"/>
    <w:rsid w:val="00256FB9"/>
    <w:rsid w:val="00263894"/>
    <w:rsid w:val="0029610A"/>
    <w:rsid w:val="002A3725"/>
    <w:rsid w:val="002A7B2B"/>
    <w:rsid w:val="002B2179"/>
    <w:rsid w:val="002B6349"/>
    <w:rsid w:val="002C2320"/>
    <w:rsid w:val="002C3F2F"/>
    <w:rsid w:val="002D49B4"/>
    <w:rsid w:val="002D6379"/>
    <w:rsid w:val="002E4AA4"/>
    <w:rsid w:val="002F0712"/>
    <w:rsid w:val="002F3BF5"/>
    <w:rsid w:val="003011EC"/>
    <w:rsid w:val="003052B8"/>
    <w:rsid w:val="003054B1"/>
    <w:rsid w:val="00316202"/>
    <w:rsid w:val="00346B3D"/>
    <w:rsid w:val="00363641"/>
    <w:rsid w:val="003750E7"/>
    <w:rsid w:val="00381579"/>
    <w:rsid w:val="003951CA"/>
    <w:rsid w:val="003B0308"/>
    <w:rsid w:val="003B1B73"/>
    <w:rsid w:val="003B4F6F"/>
    <w:rsid w:val="003B51A4"/>
    <w:rsid w:val="003E23E8"/>
    <w:rsid w:val="003F0D7E"/>
    <w:rsid w:val="00400969"/>
    <w:rsid w:val="00414007"/>
    <w:rsid w:val="00423292"/>
    <w:rsid w:val="00435C34"/>
    <w:rsid w:val="00445EEE"/>
    <w:rsid w:val="00461BD2"/>
    <w:rsid w:val="00477A35"/>
    <w:rsid w:val="004848A7"/>
    <w:rsid w:val="004977F2"/>
    <w:rsid w:val="004A0E3D"/>
    <w:rsid w:val="004D4DDB"/>
    <w:rsid w:val="004E2D5D"/>
    <w:rsid w:val="004E7D23"/>
    <w:rsid w:val="004F4124"/>
    <w:rsid w:val="004F4DF1"/>
    <w:rsid w:val="004F6A44"/>
    <w:rsid w:val="00535870"/>
    <w:rsid w:val="00536098"/>
    <w:rsid w:val="005406E4"/>
    <w:rsid w:val="0054411A"/>
    <w:rsid w:val="0055076A"/>
    <w:rsid w:val="00561DB8"/>
    <w:rsid w:val="0057325E"/>
    <w:rsid w:val="00576FBE"/>
    <w:rsid w:val="00590CC2"/>
    <w:rsid w:val="00595220"/>
    <w:rsid w:val="00597BA2"/>
    <w:rsid w:val="005A2194"/>
    <w:rsid w:val="005A4EC8"/>
    <w:rsid w:val="005C399F"/>
    <w:rsid w:val="005D3534"/>
    <w:rsid w:val="005E043D"/>
    <w:rsid w:val="005F564B"/>
    <w:rsid w:val="00625264"/>
    <w:rsid w:val="00627893"/>
    <w:rsid w:val="0065503D"/>
    <w:rsid w:val="00662075"/>
    <w:rsid w:val="00663EE2"/>
    <w:rsid w:val="006665E0"/>
    <w:rsid w:val="00666EC8"/>
    <w:rsid w:val="0069044F"/>
    <w:rsid w:val="006A1063"/>
    <w:rsid w:val="006C1EB8"/>
    <w:rsid w:val="006D5854"/>
    <w:rsid w:val="006E08C6"/>
    <w:rsid w:val="00762958"/>
    <w:rsid w:val="00766FE7"/>
    <w:rsid w:val="0077290E"/>
    <w:rsid w:val="00777D8C"/>
    <w:rsid w:val="007B6BCE"/>
    <w:rsid w:val="007C015C"/>
    <w:rsid w:val="007C0329"/>
    <w:rsid w:val="007C5F75"/>
    <w:rsid w:val="007D376D"/>
    <w:rsid w:val="007F52C2"/>
    <w:rsid w:val="00801FF9"/>
    <w:rsid w:val="00806BAB"/>
    <w:rsid w:val="0081239E"/>
    <w:rsid w:val="00825879"/>
    <w:rsid w:val="008308A8"/>
    <w:rsid w:val="00835A9B"/>
    <w:rsid w:val="00842FF7"/>
    <w:rsid w:val="008520B5"/>
    <w:rsid w:val="00883179"/>
    <w:rsid w:val="0088637A"/>
    <w:rsid w:val="00886ADF"/>
    <w:rsid w:val="00890A52"/>
    <w:rsid w:val="008B0854"/>
    <w:rsid w:val="008B2236"/>
    <w:rsid w:val="008B4B7D"/>
    <w:rsid w:val="008C03D9"/>
    <w:rsid w:val="008D5F50"/>
    <w:rsid w:val="008F0B71"/>
    <w:rsid w:val="00910AC4"/>
    <w:rsid w:val="00912FA1"/>
    <w:rsid w:val="00915111"/>
    <w:rsid w:val="00916474"/>
    <w:rsid w:val="009204B4"/>
    <w:rsid w:val="00923B88"/>
    <w:rsid w:val="00937773"/>
    <w:rsid w:val="00943557"/>
    <w:rsid w:val="009458F7"/>
    <w:rsid w:val="0096225F"/>
    <w:rsid w:val="009638CC"/>
    <w:rsid w:val="00965CF7"/>
    <w:rsid w:val="0098626C"/>
    <w:rsid w:val="0098639B"/>
    <w:rsid w:val="00986CFF"/>
    <w:rsid w:val="009970E4"/>
    <w:rsid w:val="009C080A"/>
    <w:rsid w:val="009C1D3A"/>
    <w:rsid w:val="009C3D7B"/>
    <w:rsid w:val="009C638E"/>
    <w:rsid w:val="009D1AE7"/>
    <w:rsid w:val="009D1EED"/>
    <w:rsid w:val="009D4F30"/>
    <w:rsid w:val="009E6AE3"/>
    <w:rsid w:val="00A0016A"/>
    <w:rsid w:val="00A266C0"/>
    <w:rsid w:val="00A460C8"/>
    <w:rsid w:val="00A5183F"/>
    <w:rsid w:val="00A826CC"/>
    <w:rsid w:val="00A83900"/>
    <w:rsid w:val="00AB32FC"/>
    <w:rsid w:val="00AC1EAE"/>
    <w:rsid w:val="00AD07E0"/>
    <w:rsid w:val="00AE118C"/>
    <w:rsid w:val="00B3723A"/>
    <w:rsid w:val="00B53E1F"/>
    <w:rsid w:val="00B66D86"/>
    <w:rsid w:val="00B919F9"/>
    <w:rsid w:val="00B96D90"/>
    <w:rsid w:val="00BA737A"/>
    <w:rsid w:val="00BB1E08"/>
    <w:rsid w:val="00BD3A84"/>
    <w:rsid w:val="00BF711D"/>
    <w:rsid w:val="00C04718"/>
    <w:rsid w:val="00C20D7E"/>
    <w:rsid w:val="00C223FC"/>
    <w:rsid w:val="00C2608E"/>
    <w:rsid w:val="00C4186C"/>
    <w:rsid w:val="00C91331"/>
    <w:rsid w:val="00CB4044"/>
    <w:rsid w:val="00CD2D89"/>
    <w:rsid w:val="00CD6606"/>
    <w:rsid w:val="00CE6887"/>
    <w:rsid w:val="00D03E6E"/>
    <w:rsid w:val="00D164F1"/>
    <w:rsid w:val="00D21103"/>
    <w:rsid w:val="00D21414"/>
    <w:rsid w:val="00D3738B"/>
    <w:rsid w:val="00D55F4F"/>
    <w:rsid w:val="00D71721"/>
    <w:rsid w:val="00D73AD8"/>
    <w:rsid w:val="00D814CF"/>
    <w:rsid w:val="00D92B73"/>
    <w:rsid w:val="00DA192F"/>
    <w:rsid w:val="00DA50E8"/>
    <w:rsid w:val="00DB414F"/>
    <w:rsid w:val="00DB5543"/>
    <w:rsid w:val="00DB5E63"/>
    <w:rsid w:val="00DE2040"/>
    <w:rsid w:val="00DE2298"/>
    <w:rsid w:val="00DE799E"/>
    <w:rsid w:val="00DF1DE8"/>
    <w:rsid w:val="00E202F4"/>
    <w:rsid w:val="00E2369A"/>
    <w:rsid w:val="00E37B73"/>
    <w:rsid w:val="00E5158F"/>
    <w:rsid w:val="00E72097"/>
    <w:rsid w:val="00E722D8"/>
    <w:rsid w:val="00E90EE3"/>
    <w:rsid w:val="00EA01D8"/>
    <w:rsid w:val="00EB5AB1"/>
    <w:rsid w:val="00EB6294"/>
    <w:rsid w:val="00EC2872"/>
    <w:rsid w:val="00EC586F"/>
    <w:rsid w:val="00EE0A82"/>
    <w:rsid w:val="00EE4F82"/>
    <w:rsid w:val="00EF1540"/>
    <w:rsid w:val="00EF6703"/>
    <w:rsid w:val="00EF722C"/>
    <w:rsid w:val="00F1045A"/>
    <w:rsid w:val="00F1464F"/>
    <w:rsid w:val="00F17436"/>
    <w:rsid w:val="00F17962"/>
    <w:rsid w:val="00F41B80"/>
    <w:rsid w:val="00F732ED"/>
    <w:rsid w:val="00F81E9A"/>
    <w:rsid w:val="00F918B6"/>
    <w:rsid w:val="00FA13E4"/>
    <w:rsid w:val="00FA1DB4"/>
    <w:rsid w:val="00FA6145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34A4"/>
  <w15:chartTrackingRefBased/>
  <w15:docId w15:val="{8639AB66-AC24-4AAA-B308-65AFC201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2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D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4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287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670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C1EB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C1E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1EB8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38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579"/>
  </w:style>
  <w:style w:type="paragraph" w:styleId="Footer">
    <w:name w:val="footer"/>
    <w:basedOn w:val="Normal"/>
    <w:link w:val="FooterChar"/>
    <w:uiPriority w:val="99"/>
    <w:unhideWhenUsed/>
    <w:rsid w:val="0038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79"/>
  </w:style>
  <w:style w:type="character" w:styleId="CommentReference">
    <w:name w:val="annotation reference"/>
    <w:basedOn w:val="DefaultParagraphFont"/>
    <w:uiPriority w:val="99"/>
    <w:semiHidden/>
    <w:unhideWhenUsed/>
    <w:rsid w:val="008B2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2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45A"/>
    <w:pPr>
      <w:spacing w:after="0" w:line="240" w:lineRule="auto"/>
    </w:pPr>
  </w:style>
  <w:style w:type="table" w:styleId="TableGrid">
    <w:name w:val="Table Grid"/>
    <w:basedOn w:val="TableNormal"/>
    <w:uiPriority w:val="39"/>
    <w:rsid w:val="00CB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efaultParagraphFont"/>
    <w:rsid w:val="00842FF7"/>
  </w:style>
  <w:style w:type="paragraph" w:styleId="NormalWeb">
    <w:name w:val="Normal (Web)"/>
    <w:basedOn w:val="Normal"/>
    <w:uiPriority w:val="99"/>
    <w:unhideWhenUsed/>
    <w:rsid w:val="00842FF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842FF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6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2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19-2022/2020/Decreto/D10569.htm" TargetMode="External"/><Relationship Id="rId18" Type="http://schemas.openxmlformats.org/officeDocument/2006/relationships/hyperlink" Target="https://www.ncsc.govt.nz/incidents/report-an-incident-and-request-support/" TargetMode="External"/><Relationship Id="rId26" Type="http://schemas.openxmlformats.org/officeDocument/2006/relationships/hyperlink" Target="https://www.cisa.gov/sites/default/files/publications/Federal_Incident_Notification_Guidelines.pdf" TargetMode="External"/><Relationship Id="rId39" Type="http://schemas.openxmlformats.org/officeDocument/2006/relationships/hyperlink" Target="https://gdpr-info.eu/art-33-gdpr/" TargetMode="External"/><Relationship Id="rId21" Type="http://schemas.openxmlformats.org/officeDocument/2006/relationships/hyperlink" Target="https://www.csa.gov.sg/legislation/Codes-of-Practice" TargetMode="External"/><Relationship Id="rId34" Type="http://schemas.openxmlformats.org/officeDocument/2006/relationships/hyperlink" Target="https://www.rapid7.com/globalassets/_pdfs/Rapid7-Incident-Reporting-Regulation-Summary-Chart-080822.pdf" TargetMode="External"/><Relationship Id="rId42" Type="http://schemas.openxmlformats.org/officeDocument/2006/relationships/hyperlink" Target="https://ocrportal.hhs.gov/ocr/breach/breach_form.jsf" TargetMode="External"/><Relationship Id="rId47" Type="http://schemas.openxmlformats.org/officeDocument/2006/relationships/hyperlink" Target="https://bpi.com/cyber-incident-reporting-requirements-notification-timelines-for-financial-institutions/" TargetMode="External"/><Relationship Id="rId50" Type="http://schemas.openxmlformats.org/officeDocument/2006/relationships/hyperlink" Target="https://www.sec.gov/news/press-release/2023-13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hehackernews.com/2022/04/indian-govt-orders-organisations-to.html" TargetMode="External"/><Relationship Id="rId29" Type="http://schemas.openxmlformats.org/officeDocument/2006/relationships/hyperlink" Target="https://www.govinfo.gov/content/pkg/COMPS-1143/pdf/COMPS-1143.pdf" TargetMode="External"/><Relationship Id="rId11" Type="http://schemas.openxmlformats.org/officeDocument/2006/relationships/hyperlink" Target="https://www.pwc.com.au/cyber-security-digital-trust/critical-infrastructure/learnings-from-applying-the-soci-regime.html" TargetMode="External"/><Relationship Id="rId24" Type="http://schemas.openxmlformats.org/officeDocument/2006/relationships/hyperlink" Target="https://www.cisa.gov/topics/cyber-threats-and-advisories/information-sharing/cyber-incident-reporting-critical-infrastructure-act-2022-circia" TargetMode="External"/><Relationship Id="rId32" Type="http://schemas.openxmlformats.org/officeDocument/2006/relationships/hyperlink" Target="https://obamawhitehouse.archives.gov/the-press-office/2016/07/26/presidential-policy-directive-united-states-cyber-incident" TargetMode="External"/><Relationship Id="rId37" Type="http://schemas.openxmlformats.org/officeDocument/2006/relationships/hyperlink" Target="https://www.regulations.gov/" TargetMode="External"/><Relationship Id="rId40" Type="http://schemas.openxmlformats.org/officeDocument/2006/relationships/hyperlink" Target="https://bpi.com/cyber-incident-reporting-requirements-notification-timelines-for-financial-institutions/" TargetMode="External"/><Relationship Id="rId45" Type="http://schemas.openxmlformats.org/officeDocument/2006/relationships/hyperlink" Target="https://iapp.org/resources/article/state-data-breach-notification-chart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sc.gov.au/legislative-information-and-reforms/critical-infrastructure/regulatory-obligations" TargetMode="External"/><Relationship Id="rId19" Type="http://schemas.openxmlformats.org/officeDocument/2006/relationships/hyperlink" Target="mailto:incidents@ncsc.govt.nz" TargetMode="External"/><Relationship Id="rId31" Type="http://schemas.openxmlformats.org/officeDocument/2006/relationships/hyperlink" Target="https://itic.org/news-events/news-releases/iti-issues-first-of-their-kind-principles-for-cyber-incident-reporting" TargetMode="External"/><Relationship Id="rId44" Type="http://schemas.openxmlformats.org/officeDocument/2006/relationships/hyperlink" Target="https://www.totalhipaa.com/deadline-reporting-hipaa-breaches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isc.gov.au/critical-infrastructure-centre-subsite/Files/cyber-security-incident-reporting.pdf" TargetMode="External"/><Relationship Id="rId14" Type="http://schemas.openxmlformats.org/officeDocument/2006/relationships/hyperlink" Target="https://www.dlapiperdataprotection.com/index.html?t=breach-notification&amp;c=CN" TargetMode="External"/><Relationship Id="rId22" Type="http://schemas.openxmlformats.org/officeDocument/2006/relationships/hyperlink" Target="https://thehackernews.com/2023/07/new-sec-rules-require-us-companies-to.html" TargetMode="External"/><Relationship Id="rId27" Type="http://schemas.openxmlformats.org/officeDocument/2006/relationships/hyperlink" Target="https://www.cisa.gov/report" TargetMode="External"/><Relationship Id="rId30" Type="http://schemas.openxmlformats.org/officeDocument/2006/relationships/hyperlink" Target="https://www.dhs.gov/sites/default/files/publications/Cyber%20Incident%20Reporting%20United%20Message.pdf" TargetMode="External"/><Relationship Id="rId35" Type="http://schemas.openxmlformats.org/officeDocument/2006/relationships/hyperlink" Target="https://www.tsa.gov/sites/default/files/sd_pipeline-2021-01b_05-29-2022.pdf" TargetMode="External"/><Relationship Id="rId43" Type="http://schemas.openxmlformats.org/officeDocument/2006/relationships/hyperlink" Target="https://ocrportal.hhs.gov/ocr/breach/wizard_breach.jsf?faces-redirect=true" TargetMode="External"/><Relationship Id="rId48" Type="http://schemas.openxmlformats.org/officeDocument/2006/relationships/hyperlink" Target="https://bpi.com/cyber-incident-reporting-requirements-notification-timelines-for-financial-institutions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pi.com/cyber-incident-reporting-requirements-notification-timelines-for-financial-institution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apid7.com/globalassets/_pdfs/Rapid7-Incident-Reporting-Regulation-Summary-Chart-080822.pdf" TargetMode="External"/><Relationship Id="rId17" Type="http://schemas.openxmlformats.org/officeDocument/2006/relationships/hyperlink" Target="https://www.rapid7.com/globalassets/_pdfs/Rapid7-Incident-Reporting-Regulation-Summary-Chart-080822.pdf" TargetMode="External"/><Relationship Id="rId25" Type="http://schemas.openxmlformats.org/officeDocument/2006/relationships/hyperlink" Target="https://bpi.com/cyber-incident-reporting-requirements-notification-timelines-for-financial-institutions/" TargetMode="External"/><Relationship Id="rId33" Type="http://schemas.openxmlformats.org/officeDocument/2006/relationships/hyperlink" Target="https://www.oe.netl.doe.gov/oe417.aspx" TargetMode="External"/><Relationship Id="rId38" Type="http://schemas.openxmlformats.org/officeDocument/2006/relationships/hyperlink" Target="https://iapp.org/news/a/british-columbias-privacy-management-breach-reporting-requirements-take-effect/" TargetMode="External"/><Relationship Id="rId46" Type="http://schemas.openxmlformats.org/officeDocument/2006/relationships/hyperlink" Target="https://bpi.com/cyber-incident-reporting-requirements-notification-timelines-for-financial-institutions/" TargetMode="External"/><Relationship Id="rId20" Type="http://schemas.openxmlformats.org/officeDocument/2006/relationships/hyperlink" Target="https://sso.agc.gov.sg/Acts-Supp/9-2018/" TargetMode="External"/><Relationship Id="rId41" Type="http://schemas.openxmlformats.org/officeDocument/2006/relationships/hyperlink" Target="https://www.gdprregister.eu/gdpr/data-breach-notification-requirements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EN/TXT/PDF/?uri=CELEX:32022L2555&amp;from=EN" TargetMode="External"/><Relationship Id="rId23" Type="http://schemas.openxmlformats.org/officeDocument/2006/relationships/hyperlink" Target="https://www.fmglaw.com/cyber-privacy-security/congress-imposes-new-72-hour-reporting-requirement-for-cyber-security-incidents/" TargetMode="External"/><Relationship Id="rId28" Type="http://schemas.openxmlformats.org/officeDocument/2006/relationships/hyperlink" Target="https://www.whitehouse.gov/briefing-room/presidential-actions/2021/05/12/executive-order-on-improving-the-nations-cybersecurity/" TargetMode="External"/><Relationship Id="rId36" Type="http://schemas.openxmlformats.org/officeDocument/2006/relationships/hyperlink" Target="https://www.cisa.gov/news-events/news/getting-ahead-ransomware-epidemic-cisas-pre-ransomware-notifications-help-organizations-stop-attacks" TargetMode="External"/><Relationship Id="rId49" Type="http://schemas.openxmlformats.org/officeDocument/2006/relationships/hyperlink" Target="https://bpi.com/cyber-incident-reporting-requirements-notification-timelines-for-financial-institu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6847-7715-41E0-9C26-A1EDB430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75</cp:revision>
  <cp:lastPrinted>2023-02-23T02:59:00Z</cp:lastPrinted>
  <dcterms:created xsi:type="dcterms:W3CDTF">2023-02-28T04:32:00Z</dcterms:created>
  <dcterms:modified xsi:type="dcterms:W3CDTF">2024-02-13T05:18:00Z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5cf09b4b2e973df1b7857af84ec56c79bbd99f179482cae16e09bb4168b9a209</vt:lpwstr>
  </property>
</Properties>
</file>